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73FD" w14:textId="77777777" w:rsidR="006C0C43" w:rsidRDefault="006C0C43" w:rsidP="006C0C43">
      <w:pPr>
        <w:jc w:val="center"/>
        <w:rPr>
          <w:b/>
          <w:bCs/>
        </w:rPr>
      </w:pPr>
      <w:r>
        <w:rPr>
          <w:b/>
          <w:bCs/>
        </w:rPr>
        <w:t xml:space="preserve">Survive &amp; </w:t>
      </w:r>
      <w:proofErr w:type="gramStart"/>
      <w:r>
        <w:rPr>
          <w:b/>
          <w:bCs/>
        </w:rPr>
        <w:t>Thrive</w:t>
      </w:r>
      <w:proofErr w:type="gramEnd"/>
      <w:r>
        <w:rPr>
          <w:b/>
          <w:bCs/>
        </w:rPr>
        <w:t xml:space="preserve"> in 2023</w:t>
      </w:r>
    </w:p>
    <w:p w14:paraId="6A44A08D" w14:textId="77777777" w:rsidR="006C0C43" w:rsidRDefault="006C0C43" w:rsidP="006C0C43">
      <w:pPr>
        <w:spacing w:line="360" w:lineRule="auto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>In life some things are uncertain – your business doesn’t have to be.  With more unexpected variables impacting the building industry THE TIME IS NOW to take proactive business measures.  This class will identify 5 critical issues to focus on and solutions for each to survive and thrive as a contractor in 2023. </w:t>
      </w:r>
    </w:p>
    <w:p w14:paraId="0E9B60D6" w14:textId="77777777" w:rsidR="006C0C43" w:rsidRDefault="006C0C43"/>
    <w:sectPr w:rsidR="006C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43"/>
    <w:rsid w:val="006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CDDE"/>
  <w15:chartTrackingRefBased/>
  <w15:docId w15:val="{E2ECEB1A-1A84-434E-BD2E-126A5E60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1</cp:revision>
  <dcterms:created xsi:type="dcterms:W3CDTF">2022-12-01T19:42:00Z</dcterms:created>
  <dcterms:modified xsi:type="dcterms:W3CDTF">2022-12-01T19:44:00Z</dcterms:modified>
</cp:coreProperties>
</file>