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617C" w14:textId="77777777" w:rsidR="009750E8" w:rsidRPr="005E37E3" w:rsidRDefault="00000000">
      <w:pPr>
        <w:pStyle w:val="Heading1"/>
        <w:rPr>
          <w:rFonts w:asciiTheme="majorHAnsi" w:hAnsiTheme="majorHAnsi" w:cstheme="majorHAnsi"/>
        </w:rPr>
      </w:pPr>
      <w:r w:rsidRPr="005E37E3">
        <w:rPr>
          <w:rFonts w:asciiTheme="majorHAnsi" w:hAnsiTheme="majorHAnsi" w:cstheme="majorHAnsi"/>
        </w:rPr>
        <w:t xml:space="preserve">COURSE TITLE </w:t>
      </w:r>
    </w:p>
    <w:p w14:paraId="445F93C2" w14:textId="4BBD0277" w:rsidR="009750E8" w:rsidRPr="005E37E3" w:rsidRDefault="00A47FC5">
      <w:pPr>
        <w:rPr>
          <w:rFonts w:asciiTheme="majorHAnsi" w:hAnsiTheme="majorHAnsi" w:cstheme="majorHAnsi"/>
        </w:rPr>
      </w:pPr>
      <w:r w:rsidRPr="005E37E3">
        <w:rPr>
          <w:rFonts w:asciiTheme="majorHAnsi" w:hAnsiTheme="majorHAnsi" w:cstheme="majorHAnsi"/>
          <w:shd w:val="clear" w:color="auto" w:fill="FFFFFF"/>
        </w:rPr>
        <w:t>2023 NEC Changes: Wiring Methods</w:t>
      </w:r>
    </w:p>
    <w:p w14:paraId="21B45EC8" w14:textId="77777777" w:rsidR="009750E8" w:rsidRPr="005E37E3" w:rsidRDefault="009750E8">
      <w:pPr>
        <w:rPr>
          <w:rFonts w:asciiTheme="majorHAnsi" w:hAnsiTheme="majorHAnsi" w:cstheme="majorHAnsi"/>
        </w:rPr>
      </w:pPr>
    </w:p>
    <w:p w14:paraId="1FA4E850" w14:textId="77777777" w:rsidR="009750E8" w:rsidRPr="005E37E3" w:rsidRDefault="00000000">
      <w:pPr>
        <w:pStyle w:val="Heading1"/>
        <w:rPr>
          <w:rFonts w:asciiTheme="majorHAnsi" w:hAnsiTheme="majorHAnsi" w:cstheme="majorHAnsi"/>
        </w:rPr>
      </w:pPr>
      <w:r w:rsidRPr="005E37E3">
        <w:rPr>
          <w:rFonts w:asciiTheme="majorHAnsi" w:hAnsiTheme="majorHAnsi" w:cstheme="majorHAnsi"/>
        </w:rPr>
        <w:t xml:space="preserve">COURSE DURATION </w:t>
      </w:r>
    </w:p>
    <w:p w14:paraId="14710DBF" w14:textId="77777777" w:rsidR="009750E8" w:rsidRPr="005E37E3" w:rsidRDefault="00000000">
      <w:pPr>
        <w:rPr>
          <w:rFonts w:asciiTheme="majorHAnsi" w:hAnsiTheme="majorHAnsi" w:cstheme="majorHAnsi"/>
        </w:rPr>
      </w:pPr>
      <w:r w:rsidRPr="005E37E3">
        <w:rPr>
          <w:rFonts w:asciiTheme="majorHAnsi" w:hAnsiTheme="majorHAnsi" w:cstheme="majorHAnsi"/>
        </w:rPr>
        <w:t>1 Hour</w:t>
      </w:r>
    </w:p>
    <w:p w14:paraId="50291334" w14:textId="77777777" w:rsidR="009750E8" w:rsidRPr="005E37E3" w:rsidRDefault="009750E8">
      <w:pPr>
        <w:rPr>
          <w:rFonts w:asciiTheme="majorHAnsi" w:hAnsiTheme="majorHAnsi" w:cstheme="majorHAnsi"/>
        </w:rPr>
      </w:pPr>
    </w:p>
    <w:p w14:paraId="52D2A248" w14:textId="77777777" w:rsidR="009750E8" w:rsidRPr="005E37E3" w:rsidRDefault="00000000">
      <w:pPr>
        <w:pStyle w:val="Heading1"/>
        <w:rPr>
          <w:rFonts w:asciiTheme="majorHAnsi" w:hAnsiTheme="majorHAnsi" w:cstheme="majorHAnsi"/>
        </w:rPr>
      </w:pPr>
      <w:r w:rsidRPr="005E37E3">
        <w:rPr>
          <w:rFonts w:asciiTheme="majorHAnsi" w:hAnsiTheme="majorHAnsi" w:cstheme="majorHAnsi"/>
        </w:rPr>
        <w:t>OVERVIEW </w:t>
      </w:r>
    </w:p>
    <w:p w14:paraId="75A88FAD" w14:textId="177844D2" w:rsidR="009750E8" w:rsidRPr="005E37E3" w:rsidRDefault="005E37E3">
      <w:pPr>
        <w:rPr>
          <w:rFonts w:asciiTheme="majorHAnsi" w:hAnsiTheme="majorHAnsi" w:cstheme="majorHAnsi"/>
        </w:rPr>
      </w:pPr>
      <w:r w:rsidRPr="005E37E3">
        <w:rPr>
          <w:rStyle w:val="normaltextrun"/>
          <w:rFonts w:asciiTheme="majorHAnsi" w:hAnsiTheme="majorHAnsi" w:cstheme="majorHAnsi"/>
          <w:color w:val="000000"/>
          <w:shd w:val="clear" w:color="auto" w:fill="FFFFFF"/>
        </w:rPr>
        <w:t>Did you know there are two new codes regarding wiring methods added to the 2023 NEC®? This interactive online course covers the changes to wiring methods in the 2023 National Electrical Code®. Articles covered in this course include Articles 320, 334, 336, 342, 352, 356, 358, 369, and 371. Article 320 covers armored cable (Type AC). Article 334 covers non-metallic-sheathed cables (Types NM and NMC). Article 336 covers power and control tray cable (Type TC). Article 342 covers intermediate metal conduit (IMC). Article 352 covers rigid polyvinyl chloride conduit (PVC). Article 356 covers liquid-tight flexible nonmetallic conduit (LFNC). And Article 358 covers electrical metallic tubing (EMT). Notable changes include the addition of Article 369, which covers insulated bus pipe (IBP)/tubular covered conductors (TCC), and Article 371, which covers flexible bus systems. By the end of the course, learners will understand the critical regulations, best practices, and safety considerations for wiring methods outlined in 2023 NEC®.</w:t>
      </w:r>
      <w:r w:rsidRPr="005E37E3">
        <w:rPr>
          <w:rStyle w:val="normaltextrun"/>
          <w:rFonts w:asciiTheme="majorHAnsi" w:hAnsiTheme="majorHAnsi" w:cstheme="majorHAnsi"/>
          <w:b/>
          <w:bCs/>
          <w:color w:val="000000"/>
          <w:shd w:val="clear" w:color="auto" w:fill="FFFFFF"/>
        </w:rPr>
        <w:t>  </w:t>
      </w:r>
      <w:r w:rsidR="001740F3" w:rsidRPr="005E37E3">
        <w:rPr>
          <w:rFonts w:asciiTheme="majorHAnsi" w:hAnsiTheme="majorHAnsi" w:cstheme="majorHAnsi"/>
        </w:rPr>
        <w:t>   </w:t>
      </w:r>
    </w:p>
    <w:p w14:paraId="08A497F2" w14:textId="77777777" w:rsidR="001740F3" w:rsidRPr="005E37E3" w:rsidRDefault="001740F3">
      <w:pPr>
        <w:rPr>
          <w:rFonts w:asciiTheme="majorHAnsi" w:hAnsiTheme="majorHAnsi" w:cstheme="majorHAnsi"/>
        </w:rPr>
      </w:pPr>
    </w:p>
    <w:p w14:paraId="5E9CD2C9" w14:textId="77777777" w:rsidR="009750E8" w:rsidRPr="005E37E3" w:rsidRDefault="00000000">
      <w:pPr>
        <w:pStyle w:val="Heading1"/>
        <w:rPr>
          <w:rFonts w:asciiTheme="majorHAnsi" w:hAnsiTheme="majorHAnsi" w:cstheme="majorHAnsi"/>
        </w:rPr>
      </w:pPr>
      <w:r w:rsidRPr="005E37E3">
        <w:rPr>
          <w:rFonts w:asciiTheme="majorHAnsi" w:hAnsiTheme="majorHAnsi" w:cstheme="majorHAnsi"/>
        </w:rPr>
        <w:t>PREREQUISITES</w:t>
      </w:r>
    </w:p>
    <w:p w14:paraId="414F5B6F" w14:textId="77777777" w:rsidR="009750E8" w:rsidRPr="005E37E3" w:rsidRDefault="00000000">
      <w:pPr>
        <w:rPr>
          <w:rFonts w:asciiTheme="majorHAnsi" w:hAnsiTheme="majorHAnsi" w:cstheme="majorHAnsi"/>
        </w:rPr>
      </w:pPr>
      <w:r w:rsidRPr="005E37E3">
        <w:rPr>
          <w:rFonts w:asciiTheme="majorHAnsi" w:hAnsiTheme="majorHAnsi" w:cstheme="majorHAnsi"/>
        </w:rPr>
        <w:t>No prior knowledge is required.</w:t>
      </w:r>
    </w:p>
    <w:p w14:paraId="1C73992D" w14:textId="77777777" w:rsidR="009750E8" w:rsidRPr="005E37E3" w:rsidRDefault="009750E8">
      <w:pPr>
        <w:rPr>
          <w:rFonts w:asciiTheme="majorHAnsi" w:hAnsiTheme="majorHAnsi" w:cstheme="majorHAnsi"/>
        </w:rPr>
      </w:pPr>
    </w:p>
    <w:p w14:paraId="19C823C0" w14:textId="77777777" w:rsidR="009750E8" w:rsidRPr="005E37E3" w:rsidRDefault="00000000">
      <w:pPr>
        <w:pStyle w:val="Heading1"/>
        <w:rPr>
          <w:rFonts w:asciiTheme="majorHAnsi" w:hAnsiTheme="majorHAnsi" w:cstheme="majorHAnsi"/>
        </w:rPr>
      </w:pPr>
      <w:r w:rsidRPr="005E37E3">
        <w:rPr>
          <w:rFonts w:asciiTheme="majorHAnsi" w:hAnsiTheme="majorHAnsi" w:cstheme="majorHAnsi"/>
        </w:rPr>
        <w:t>BEHAVIORAL OBJECTIVES</w:t>
      </w:r>
    </w:p>
    <w:p w14:paraId="2E102C68" w14:textId="77777777" w:rsidR="009750E8" w:rsidRPr="005E37E3" w:rsidRDefault="00000000">
      <w:pPr>
        <w:rPr>
          <w:rFonts w:asciiTheme="majorHAnsi" w:hAnsiTheme="majorHAnsi" w:cstheme="majorHAnsi"/>
        </w:rPr>
      </w:pPr>
      <w:r w:rsidRPr="005E37E3">
        <w:rPr>
          <w:rFonts w:asciiTheme="majorHAnsi" w:hAnsiTheme="majorHAnsi" w:cstheme="majorHAnsi"/>
        </w:rPr>
        <w:t>After successfully completing this course, you will be able to:</w:t>
      </w:r>
    </w:p>
    <w:p w14:paraId="60F378DD" w14:textId="77777777" w:rsidR="001740F3" w:rsidRPr="005E37E3" w:rsidRDefault="001740F3" w:rsidP="001740F3">
      <w:pPr>
        <w:pStyle w:val="ListParagraph"/>
        <w:numPr>
          <w:ilvl w:val="0"/>
          <w:numId w:val="9"/>
        </w:numPr>
        <w:rPr>
          <w:rFonts w:asciiTheme="majorHAnsi" w:hAnsiTheme="majorHAnsi" w:cstheme="majorHAnsi"/>
        </w:rPr>
      </w:pPr>
      <w:r w:rsidRPr="005E37E3">
        <w:rPr>
          <w:rFonts w:asciiTheme="majorHAnsi" w:hAnsiTheme="majorHAnsi" w:cstheme="majorHAnsi"/>
        </w:rPr>
        <w:t xml:space="preserve">Explain the requirements for cables in attics as described in </w:t>
      </w:r>
      <w:proofErr w:type="gramStart"/>
      <w:r w:rsidRPr="005E37E3">
        <w:rPr>
          <w:rFonts w:asciiTheme="majorHAnsi" w:hAnsiTheme="majorHAnsi" w:cstheme="majorHAnsi"/>
        </w:rPr>
        <w:t>320.23</w:t>
      </w:r>
      <w:proofErr w:type="gramEnd"/>
    </w:p>
    <w:p w14:paraId="2C3777D0" w14:textId="77777777" w:rsidR="001740F3" w:rsidRPr="005E37E3" w:rsidRDefault="001740F3" w:rsidP="001740F3">
      <w:pPr>
        <w:pStyle w:val="ListParagraph"/>
        <w:numPr>
          <w:ilvl w:val="0"/>
          <w:numId w:val="9"/>
        </w:numPr>
        <w:rPr>
          <w:rFonts w:asciiTheme="majorHAnsi" w:hAnsiTheme="majorHAnsi" w:cstheme="majorHAnsi"/>
        </w:rPr>
      </w:pPr>
      <w:r w:rsidRPr="005E37E3">
        <w:rPr>
          <w:rFonts w:asciiTheme="majorHAnsi" w:hAnsiTheme="majorHAnsi" w:cstheme="majorHAnsi"/>
        </w:rPr>
        <w:t xml:space="preserve">List the permitted uses of NM cable in </w:t>
      </w:r>
      <w:proofErr w:type="gramStart"/>
      <w:r w:rsidRPr="005E37E3">
        <w:rPr>
          <w:rFonts w:asciiTheme="majorHAnsi" w:hAnsiTheme="majorHAnsi" w:cstheme="majorHAnsi"/>
        </w:rPr>
        <w:t>334.10</w:t>
      </w:r>
      <w:proofErr w:type="gramEnd"/>
    </w:p>
    <w:p w14:paraId="3B09642F" w14:textId="77777777" w:rsidR="001740F3" w:rsidRPr="005E37E3" w:rsidRDefault="001740F3" w:rsidP="001740F3">
      <w:pPr>
        <w:pStyle w:val="ListParagraph"/>
        <w:numPr>
          <w:ilvl w:val="0"/>
          <w:numId w:val="9"/>
        </w:numPr>
        <w:rPr>
          <w:rFonts w:asciiTheme="majorHAnsi" w:hAnsiTheme="majorHAnsi" w:cstheme="majorHAnsi"/>
        </w:rPr>
      </w:pPr>
      <w:r w:rsidRPr="005E37E3">
        <w:rPr>
          <w:rFonts w:asciiTheme="majorHAnsi" w:hAnsiTheme="majorHAnsi" w:cstheme="majorHAnsi"/>
        </w:rPr>
        <w:t xml:space="preserve">Discuss the revisions in 334.24 for cable bending </w:t>
      </w:r>
      <w:proofErr w:type="gramStart"/>
      <w:r w:rsidRPr="005E37E3">
        <w:rPr>
          <w:rFonts w:asciiTheme="majorHAnsi" w:hAnsiTheme="majorHAnsi" w:cstheme="majorHAnsi"/>
        </w:rPr>
        <w:t>radius</w:t>
      </w:r>
      <w:proofErr w:type="gramEnd"/>
    </w:p>
    <w:p w14:paraId="0E58FEC1" w14:textId="77777777" w:rsidR="001740F3" w:rsidRPr="005E37E3" w:rsidRDefault="001740F3" w:rsidP="001740F3">
      <w:pPr>
        <w:pStyle w:val="ListParagraph"/>
        <w:numPr>
          <w:ilvl w:val="0"/>
          <w:numId w:val="9"/>
        </w:numPr>
        <w:rPr>
          <w:rFonts w:asciiTheme="majorHAnsi" w:hAnsiTheme="majorHAnsi" w:cstheme="majorHAnsi"/>
        </w:rPr>
      </w:pPr>
      <w:r w:rsidRPr="005E37E3">
        <w:rPr>
          <w:rFonts w:asciiTheme="majorHAnsi" w:hAnsiTheme="majorHAnsi" w:cstheme="majorHAnsi"/>
        </w:rPr>
        <w:t xml:space="preserve">Describe why the allowances of 334.40 were </w:t>
      </w:r>
      <w:proofErr w:type="gramStart"/>
      <w:r w:rsidRPr="005E37E3">
        <w:rPr>
          <w:rFonts w:asciiTheme="majorHAnsi" w:hAnsiTheme="majorHAnsi" w:cstheme="majorHAnsi"/>
        </w:rPr>
        <w:t>expanded</w:t>
      </w:r>
      <w:proofErr w:type="gramEnd"/>
    </w:p>
    <w:p w14:paraId="6BB21E0A" w14:textId="77777777" w:rsidR="001740F3" w:rsidRPr="005E37E3" w:rsidRDefault="001740F3" w:rsidP="001740F3">
      <w:pPr>
        <w:pStyle w:val="ListParagraph"/>
        <w:numPr>
          <w:ilvl w:val="0"/>
          <w:numId w:val="9"/>
        </w:numPr>
        <w:rPr>
          <w:rFonts w:asciiTheme="majorHAnsi" w:hAnsiTheme="majorHAnsi" w:cstheme="majorHAnsi"/>
        </w:rPr>
      </w:pPr>
      <w:r w:rsidRPr="005E37E3">
        <w:rPr>
          <w:rFonts w:asciiTheme="majorHAnsi" w:hAnsiTheme="majorHAnsi" w:cstheme="majorHAnsi"/>
        </w:rPr>
        <w:t xml:space="preserve">Recognize when 336.10 allows tray cable for </w:t>
      </w:r>
      <w:proofErr w:type="gramStart"/>
      <w:r w:rsidRPr="005E37E3">
        <w:rPr>
          <w:rFonts w:asciiTheme="majorHAnsi" w:hAnsiTheme="majorHAnsi" w:cstheme="majorHAnsi"/>
        </w:rPr>
        <w:t>services</w:t>
      </w:r>
      <w:proofErr w:type="gramEnd"/>
    </w:p>
    <w:p w14:paraId="532F5FC4" w14:textId="77777777" w:rsidR="001740F3" w:rsidRPr="005E37E3" w:rsidRDefault="001740F3" w:rsidP="001740F3">
      <w:pPr>
        <w:pStyle w:val="ListParagraph"/>
        <w:numPr>
          <w:ilvl w:val="0"/>
          <w:numId w:val="9"/>
        </w:numPr>
        <w:rPr>
          <w:rFonts w:asciiTheme="majorHAnsi" w:hAnsiTheme="majorHAnsi" w:cstheme="majorHAnsi"/>
        </w:rPr>
      </w:pPr>
      <w:r w:rsidRPr="005E37E3">
        <w:rPr>
          <w:rFonts w:asciiTheme="majorHAnsi" w:hAnsiTheme="majorHAnsi" w:cstheme="majorHAnsi"/>
        </w:rPr>
        <w:t>List the increased permitted sizes in 342.20 and 358.20 for IMC and EMT</w:t>
      </w:r>
    </w:p>
    <w:p w14:paraId="22833B7E" w14:textId="77777777" w:rsidR="001740F3" w:rsidRPr="005E37E3" w:rsidRDefault="001740F3" w:rsidP="001740F3">
      <w:pPr>
        <w:pStyle w:val="ListParagraph"/>
        <w:numPr>
          <w:ilvl w:val="0"/>
          <w:numId w:val="9"/>
        </w:numPr>
        <w:rPr>
          <w:rFonts w:asciiTheme="majorHAnsi" w:hAnsiTheme="majorHAnsi" w:cstheme="majorHAnsi"/>
        </w:rPr>
      </w:pPr>
      <w:r w:rsidRPr="005E37E3">
        <w:rPr>
          <w:rFonts w:asciiTheme="majorHAnsi" w:hAnsiTheme="majorHAnsi" w:cstheme="majorHAnsi"/>
        </w:rPr>
        <w:t>Explain the clarifications for Schedule 40 and Schedule 80 PVC in 352.10</w:t>
      </w:r>
    </w:p>
    <w:p w14:paraId="648A76D2" w14:textId="77777777" w:rsidR="001740F3" w:rsidRPr="005E37E3" w:rsidRDefault="001740F3" w:rsidP="001740F3">
      <w:pPr>
        <w:pStyle w:val="ListParagraph"/>
        <w:numPr>
          <w:ilvl w:val="0"/>
          <w:numId w:val="9"/>
        </w:numPr>
        <w:rPr>
          <w:rFonts w:asciiTheme="majorHAnsi" w:hAnsiTheme="majorHAnsi" w:cstheme="majorHAnsi"/>
        </w:rPr>
      </w:pPr>
      <w:r w:rsidRPr="005E37E3">
        <w:rPr>
          <w:rFonts w:asciiTheme="majorHAnsi" w:hAnsiTheme="majorHAnsi" w:cstheme="majorHAnsi"/>
        </w:rPr>
        <w:t xml:space="preserve">Recall when 352.44 requires expansion </w:t>
      </w:r>
      <w:proofErr w:type="gramStart"/>
      <w:r w:rsidRPr="005E37E3">
        <w:rPr>
          <w:rFonts w:asciiTheme="majorHAnsi" w:hAnsiTheme="majorHAnsi" w:cstheme="majorHAnsi"/>
        </w:rPr>
        <w:t>fittings</w:t>
      </w:r>
      <w:proofErr w:type="gramEnd"/>
    </w:p>
    <w:p w14:paraId="6713A931" w14:textId="77777777" w:rsidR="001740F3" w:rsidRPr="005E37E3" w:rsidRDefault="001740F3" w:rsidP="001740F3">
      <w:pPr>
        <w:pStyle w:val="ListParagraph"/>
        <w:numPr>
          <w:ilvl w:val="0"/>
          <w:numId w:val="9"/>
        </w:numPr>
        <w:rPr>
          <w:rFonts w:asciiTheme="majorHAnsi" w:hAnsiTheme="majorHAnsi" w:cstheme="majorHAnsi"/>
        </w:rPr>
      </w:pPr>
      <w:r w:rsidRPr="005E37E3">
        <w:rPr>
          <w:rFonts w:asciiTheme="majorHAnsi" w:hAnsiTheme="majorHAnsi" w:cstheme="majorHAnsi"/>
        </w:rPr>
        <w:t xml:space="preserve">List the permitted uses in 356.10 for liquid type flexible nonmetallic </w:t>
      </w:r>
      <w:proofErr w:type="gramStart"/>
      <w:r w:rsidRPr="005E37E3">
        <w:rPr>
          <w:rFonts w:asciiTheme="majorHAnsi" w:hAnsiTheme="majorHAnsi" w:cstheme="majorHAnsi"/>
        </w:rPr>
        <w:t>conduit</w:t>
      </w:r>
      <w:proofErr w:type="gramEnd"/>
    </w:p>
    <w:p w14:paraId="6CAB758D" w14:textId="77777777" w:rsidR="001740F3" w:rsidRPr="005E37E3" w:rsidRDefault="001740F3" w:rsidP="001740F3">
      <w:pPr>
        <w:pStyle w:val="ListParagraph"/>
        <w:numPr>
          <w:ilvl w:val="0"/>
          <w:numId w:val="9"/>
        </w:numPr>
        <w:rPr>
          <w:rFonts w:asciiTheme="majorHAnsi" w:hAnsiTheme="majorHAnsi" w:cstheme="majorHAnsi"/>
        </w:rPr>
      </w:pPr>
      <w:r w:rsidRPr="005E37E3">
        <w:rPr>
          <w:rFonts w:asciiTheme="majorHAnsi" w:hAnsiTheme="majorHAnsi" w:cstheme="majorHAnsi"/>
        </w:rPr>
        <w:t>Discuss the new allowances for EMT in 358.10</w:t>
      </w:r>
    </w:p>
    <w:p w14:paraId="0B2FEFB3" w14:textId="77777777" w:rsidR="001740F3" w:rsidRPr="005E37E3" w:rsidRDefault="001740F3" w:rsidP="001740F3">
      <w:pPr>
        <w:pStyle w:val="ListParagraph"/>
        <w:numPr>
          <w:ilvl w:val="0"/>
          <w:numId w:val="9"/>
        </w:numPr>
        <w:rPr>
          <w:rFonts w:asciiTheme="majorHAnsi" w:hAnsiTheme="majorHAnsi" w:cstheme="majorHAnsi"/>
        </w:rPr>
      </w:pPr>
      <w:r w:rsidRPr="005E37E3">
        <w:rPr>
          <w:rFonts w:asciiTheme="majorHAnsi" w:hAnsiTheme="majorHAnsi" w:cstheme="majorHAnsi"/>
        </w:rPr>
        <w:t>Recall what the new Article 369 covers</w:t>
      </w:r>
    </w:p>
    <w:p w14:paraId="3D845957" w14:textId="490B578E" w:rsidR="009750E8" w:rsidRPr="005E37E3" w:rsidRDefault="001740F3" w:rsidP="001740F3">
      <w:pPr>
        <w:pStyle w:val="ListParagraph"/>
        <w:numPr>
          <w:ilvl w:val="0"/>
          <w:numId w:val="9"/>
        </w:numPr>
        <w:rPr>
          <w:rFonts w:asciiTheme="majorHAnsi" w:hAnsiTheme="majorHAnsi" w:cstheme="majorHAnsi"/>
        </w:rPr>
      </w:pPr>
      <w:r w:rsidRPr="005E37E3">
        <w:rPr>
          <w:rFonts w:asciiTheme="majorHAnsi" w:hAnsiTheme="majorHAnsi" w:cstheme="majorHAnsi"/>
        </w:rPr>
        <w:t>Explain what the new Article 371 applies to</w:t>
      </w:r>
      <w:r w:rsidRPr="005E37E3">
        <w:rPr>
          <w:rFonts w:asciiTheme="majorHAnsi" w:hAnsiTheme="majorHAnsi" w:cstheme="majorHAnsi"/>
        </w:rPr>
        <w:br/>
      </w:r>
    </w:p>
    <w:p w14:paraId="196423FE" w14:textId="77777777" w:rsidR="009750E8" w:rsidRPr="005E37E3" w:rsidRDefault="00000000">
      <w:pPr>
        <w:pStyle w:val="Heading1"/>
        <w:rPr>
          <w:rFonts w:asciiTheme="majorHAnsi" w:hAnsiTheme="majorHAnsi" w:cstheme="majorHAnsi"/>
        </w:rPr>
      </w:pPr>
      <w:r w:rsidRPr="005E37E3">
        <w:rPr>
          <w:rFonts w:asciiTheme="majorHAnsi" w:hAnsiTheme="majorHAnsi" w:cstheme="majorHAnsi"/>
        </w:rPr>
        <w:t>COURSE OUTLINE</w:t>
      </w:r>
    </w:p>
    <w:tbl>
      <w:tblPr>
        <w:tblW w:w="0" w:type="auto"/>
        <w:tblCellMar>
          <w:top w:w="15" w:type="dxa"/>
          <w:left w:w="15" w:type="dxa"/>
          <w:bottom w:w="15" w:type="dxa"/>
          <w:right w:w="15" w:type="dxa"/>
        </w:tblCellMar>
        <w:tblLook w:val="04A0" w:firstRow="1" w:lastRow="0" w:firstColumn="1" w:lastColumn="0" w:noHBand="0" w:noVBand="1"/>
      </w:tblPr>
      <w:tblGrid>
        <w:gridCol w:w="6670"/>
        <w:gridCol w:w="1288"/>
      </w:tblGrid>
      <w:tr w:rsidR="00DB79B5" w:rsidRPr="005E37E3" w14:paraId="135E83B7" w14:textId="77777777" w:rsidTr="0087537A">
        <w:tc>
          <w:tcPr>
            <w:tcW w:w="0" w:type="auto"/>
            <w:tcMar>
              <w:top w:w="0" w:type="dxa"/>
              <w:left w:w="115" w:type="dxa"/>
              <w:bottom w:w="0" w:type="dxa"/>
              <w:right w:w="115" w:type="dxa"/>
            </w:tcMar>
            <w:hideMark/>
          </w:tcPr>
          <w:p w14:paraId="2EEF6724"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b/>
                <w:bCs/>
              </w:rPr>
              <w:t>Chapter</w:t>
            </w:r>
          </w:p>
        </w:tc>
        <w:tc>
          <w:tcPr>
            <w:tcW w:w="0" w:type="auto"/>
            <w:tcMar>
              <w:top w:w="0" w:type="dxa"/>
              <w:left w:w="115" w:type="dxa"/>
              <w:bottom w:w="0" w:type="dxa"/>
              <w:right w:w="115" w:type="dxa"/>
            </w:tcMar>
            <w:hideMark/>
          </w:tcPr>
          <w:p w14:paraId="31548AD3" w14:textId="77777777" w:rsidR="0087537A" w:rsidRPr="005E37E3" w:rsidRDefault="0087537A" w:rsidP="0087537A">
            <w:pPr>
              <w:ind w:left="150" w:right="150"/>
              <w:rPr>
                <w:rFonts w:asciiTheme="majorHAnsi" w:eastAsia="Times New Roman" w:hAnsiTheme="majorHAnsi" w:cstheme="majorHAnsi"/>
              </w:rPr>
            </w:pPr>
            <w:r w:rsidRPr="005E37E3">
              <w:rPr>
                <w:rFonts w:asciiTheme="majorHAnsi" w:eastAsia="Times New Roman" w:hAnsiTheme="majorHAnsi" w:cstheme="majorHAnsi"/>
                <w:b/>
                <w:bCs/>
              </w:rPr>
              <w:t>Minutes</w:t>
            </w:r>
          </w:p>
        </w:tc>
      </w:tr>
      <w:tr w:rsidR="00DB79B5" w:rsidRPr="005E37E3" w14:paraId="72F3726B" w14:textId="77777777" w:rsidTr="0087537A">
        <w:tc>
          <w:tcPr>
            <w:tcW w:w="0" w:type="auto"/>
            <w:tcMar>
              <w:top w:w="0" w:type="dxa"/>
              <w:left w:w="115" w:type="dxa"/>
              <w:bottom w:w="0" w:type="dxa"/>
              <w:right w:w="115" w:type="dxa"/>
            </w:tcMar>
            <w:hideMark/>
          </w:tcPr>
          <w:p w14:paraId="2BEFCCC3"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rPr>
              <w:t>Introduction</w:t>
            </w:r>
          </w:p>
        </w:tc>
        <w:tc>
          <w:tcPr>
            <w:tcW w:w="0" w:type="auto"/>
            <w:tcMar>
              <w:top w:w="0" w:type="dxa"/>
              <w:left w:w="115" w:type="dxa"/>
              <w:bottom w:w="0" w:type="dxa"/>
              <w:right w:w="115" w:type="dxa"/>
            </w:tcMar>
            <w:hideMark/>
          </w:tcPr>
          <w:p w14:paraId="298F210B"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rPr>
              <w:t>2</w:t>
            </w:r>
          </w:p>
        </w:tc>
      </w:tr>
      <w:tr w:rsidR="00DB79B5" w:rsidRPr="005E37E3" w14:paraId="706B2F77" w14:textId="77777777" w:rsidTr="0087537A">
        <w:tc>
          <w:tcPr>
            <w:tcW w:w="0" w:type="auto"/>
            <w:tcMar>
              <w:top w:w="0" w:type="dxa"/>
              <w:left w:w="115" w:type="dxa"/>
              <w:bottom w:w="0" w:type="dxa"/>
              <w:right w:w="115" w:type="dxa"/>
            </w:tcMar>
            <w:hideMark/>
          </w:tcPr>
          <w:p w14:paraId="00796165"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rPr>
              <w:t>Article 320 Armored Cable (Type AC)</w:t>
            </w:r>
          </w:p>
        </w:tc>
        <w:tc>
          <w:tcPr>
            <w:tcW w:w="0" w:type="auto"/>
            <w:tcMar>
              <w:top w:w="0" w:type="dxa"/>
              <w:left w:w="115" w:type="dxa"/>
              <w:bottom w:w="0" w:type="dxa"/>
              <w:right w:w="115" w:type="dxa"/>
            </w:tcMar>
            <w:hideMark/>
          </w:tcPr>
          <w:p w14:paraId="4B9A102B"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rPr>
              <w:t>8</w:t>
            </w:r>
          </w:p>
        </w:tc>
      </w:tr>
      <w:tr w:rsidR="00DB79B5" w:rsidRPr="005E37E3" w14:paraId="38ADA40F" w14:textId="77777777" w:rsidTr="0087537A">
        <w:tc>
          <w:tcPr>
            <w:tcW w:w="0" w:type="auto"/>
            <w:tcMar>
              <w:top w:w="0" w:type="dxa"/>
              <w:left w:w="115" w:type="dxa"/>
              <w:bottom w:w="0" w:type="dxa"/>
              <w:right w:w="115" w:type="dxa"/>
            </w:tcMar>
            <w:hideMark/>
          </w:tcPr>
          <w:p w14:paraId="5B08D879"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rPr>
              <w:t>Article 334 Nonmetallic-Sheathed Cable (Types NM and NMC)</w:t>
            </w:r>
          </w:p>
        </w:tc>
        <w:tc>
          <w:tcPr>
            <w:tcW w:w="0" w:type="auto"/>
            <w:tcMar>
              <w:top w:w="0" w:type="dxa"/>
              <w:left w:w="115" w:type="dxa"/>
              <w:bottom w:w="0" w:type="dxa"/>
              <w:right w:w="115" w:type="dxa"/>
            </w:tcMar>
            <w:hideMark/>
          </w:tcPr>
          <w:p w14:paraId="7D6577B0"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rPr>
              <w:t>15</w:t>
            </w:r>
          </w:p>
        </w:tc>
      </w:tr>
      <w:tr w:rsidR="00DB79B5" w:rsidRPr="005E37E3" w14:paraId="06777F5E" w14:textId="77777777" w:rsidTr="0087537A">
        <w:tc>
          <w:tcPr>
            <w:tcW w:w="0" w:type="auto"/>
            <w:tcMar>
              <w:top w:w="0" w:type="dxa"/>
              <w:left w:w="115" w:type="dxa"/>
              <w:bottom w:w="0" w:type="dxa"/>
              <w:right w:w="115" w:type="dxa"/>
            </w:tcMar>
            <w:hideMark/>
          </w:tcPr>
          <w:p w14:paraId="787B9682"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rPr>
              <w:t>Article 336 Power and Control Tray Cable </w:t>
            </w:r>
          </w:p>
        </w:tc>
        <w:tc>
          <w:tcPr>
            <w:tcW w:w="0" w:type="auto"/>
            <w:tcMar>
              <w:top w:w="0" w:type="dxa"/>
              <w:left w:w="115" w:type="dxa"/>
              <w:bottom w:w="0" w:type="dxa"/>
              <w:right w:w="115" w:type="dxa"/>
            </w:tcMar>
            <w:hideMark/>
          </w:tcPr>
          <w:p w14:paraId="3849E8DF"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rPr>
              <w:t>2</w:t>
            </w:r>
          </w:p>
        </w:tc>
      </w:tr>
      <w:tr w:rsidR="00DB79B5" w:rsidRPr="005E37E3" w14:paraId="5A92E75C" w14:textId="77777777" w:rsidTr="0087537A">
        <w:tc>
          <w:tcPr>
            <w:tcW w:w="0" w:type="auto"/>
            <w:tcMar>
              <w:top w:w="0" w:type="dxa"/>
              <w:left w:w="115" w:type="dxa"/>
              <w:bottom w:w="0" w:type="dxa"/>
              <w:right w:w="115" w:type="dxa"/>
            </w:tcMar>
            <w:hideMark/>
          </w:tcPr>
          <w:p w14:paraId="315DF026"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rPr>
              <w:t>Article 342 Intermediate Metal Conduit (IMC)</w:t>
            </w:r>
          </w:p>
        </w:tc>
        <w:tc>
          <w:tcPr>
            <w:tcW w:w="0" w:type="auto"/>
            <w:tcMar>
              <w:top w:w="0" w:type="dxa"/>
              <w:left w:w="115" w:type="dxa"/>
              <w:bottom w:w="0" w:type="dxa"/>
              <w:right w:w="115" w:type="dxa"/>
            </w:tcMar>
            <w:hideMark/>
          </w:tcPr>
          <w:p w14:paraId="7BD2A1B7"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rPr>
              <w:t>3</w:t>
            </w:r>
          </w:p>
        </w:tc>
      </w:tr>
      <w:tr w:rsidR="00DB79B5" w:rsidRPr="005E37E3" w14:paraId="4A9BCDBB" w14:textId="77777777" w:rsidTr="0087537A">
        <w:tc>
          <w:tcPr>
            <w:tcW w:w="0" w:type="auto"/>
            <w:tcMar>
              <w:top w:w="0" w:type="dxa"/>
              <w:left w:w="115" w:type="dxa"/>
              <w:bottom w:w="0" w:type="dxa"/>
              <w:right w:w="115" w:type="dxa"/>
            </w:tcMar>
            <w:hideMark/>
          </w:tcPr>
          <w:p w14:paraId="50C29441"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rPr>
              <w:t>Article 352 Rigid Polyvinyl Chloride Conduit (PVC)</w:t>
            </w:r>
          </w:p>
        </w:tc>
        <w:tc>
          <w:tcPr>
            <w:tcW w:w="0" w:type="auto"/>
            <w:tcMar>
              <w:top w:w="0" w:type="dxa"/>
              <w:left w:w="115" w:type="dxa"/>
              <w:bottom w:w="0" w:type="dxa"/>
              <w:right w:w="115" w:type="dxa"/>
            </w:tcMar>
            <w:hideMark/>
          </w:tcPr>
          <w:p w14:paraId="53BE67AA"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rPr>
              <w:t>2</w:t>
            </w:r>
          </w:p>
        </w:tc>
      </w:tr>
      <w:tr w:rsidR="00DB79B5" w:rsidRPr="005E37E3" w14:paraId="5671C58C" w14:textId="77777777" w:rsidTr="0087537A">
        <w:tc>
          <w:tcPr>
            <w:tcW w:w="0" w:type="auto"/>
            <w:tcMar>
              <w:top w:w="0" w:type="dxa"/>
              <w:left w:w="115" w:type="dxa"/>
              <w:bottom w:w="0" w:type="dxa"/>
              <w:right w:w="115" w:type="dxa"/>
            </w:tcMar>
            <w:hideMark/>
          </w:tcPr>
          <w:p w14:paraId="56306B21" w14:textId="77777777" w:rsidR="0087537A" w:rsidRPr="005E37E3" w:rsidRDefault="0087537A" w:rsidP="0087537A">
            <w:pPr>
              <w:rPr>
                <w:rFonts w:asciiTheme="majorHAnsi" w:eastAsia="Times New Roman" w:hAnsiTheme="majorHAnsi" w:cstheme="majorHAnsi"/>
              </w:rPr>
            </w:pPr>
          </w:p>
        </w:tc>
        <w:tc>
          <w:tcPr>
            <w:tcW w:w="0" w:type="auto"/>
            <w:tcMar>
              <w:top w:w="0" w:type="dxa"/>
              <w:left w:w="115" w:type="dxa"/>
              <w:bottom w:w="0" w:type="dxa"/>
              <w:right w:w="115" w:type="dxa"/>
            </w:tcMar>
            <w:hideMark/>
          </w:tcPr>
          <w:p w14:paraId="1A8AB5EB" w14:textId="77777777" w:rsidR="0087537A" w:rsidRPr="005E37E3" w:rsidRDefault="0087537A" w:rsidP="0087537A">
            <w:pPr>
              <w:rPr>
                <w:rFonts w:asciiTheme="majorHAnsi" w:eastAsia="Times New Roman" w:hAnsiTheme="majorHAnsi" w:cstheme="majorHAnsi"/>
              </w:rPr>
            </w:pPr>
          </w:p>
        </w:tc>
      </w:tr>
      <w:tr w:rsidR="00DB79B5" w:rsidRPr="005E37E3" w14:paraId="0FC19464" w14:textId="77777777" w:rsidTr="0087537A">
        <w:tc>
          <w:tcPr>
            <w:tcW w:w="0" w:type="auto"/>
            <w:tcMar>
              <w:top w:w="0" w:type="dxa"/>
              <w:left w:w="115" w:type="dxa"/>
              <w:bottom w:w="0" w:type="dxa"/>
              <w:right w:w="115" w:type="dxa"/>
            </w:tcMar>
            <w:hideMark/>
          </w:tcPr>
          <w:p w14:paraId="65B46925"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rPr>
              <w:t>Article 358 Electrical Metallic Tubing (EMT)</w:t>
            </w:r>
          </w:p>
        </w:tc>
        <w:tc>
          <w:tcPr>
            <w:tcW w:w="0" w:type="auto"/>
            <w:tcMar>
              <w:top w:w="0" w:type="dxa"/>
              <w:left w:w="115" w:type="dxa"/>
              <w:bottom w:w="0" w:type="dxa"/>
              <w:right w:w="115" w:type="dxa"/>
            </w:tcMar>
            <w:hideMark/>
          </w:tcPr>
          <w:p w14:paraId="55328FC0"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rPr>
              <w:t>6</w:t>
            </w:r>
          </w:p>
        </w:tc>
      </w:tr>
      <w:tr w:rsidR="00DB79B5" w:rsidRPr="005E37E3" w14:paraId="1517956B" w14:textId="77777777" w:rsidTr="0087537A">
        <w:tc>
          <w:tcPr>
            <w:tcW w:w="0" w:type="auto"/>
            <w:tcMar>
              <w:top w:w="0" w:type="dxa"/>
              <w:left w:w="115" w:type="dxa"/>
              <w:bottom w:w="0" w:type="dxa"/>
              <w:right w:w="115" w:type="dxa"/>
            </w:tcMar>
            <w:hideMark/>
          </w:tcPr>
          <w:p w14:paraId="1066796D"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rPr>
              <w:t>Article 369 Insulated Bus Pipe (IBP)/Tubular Covered Conductors (TCC)</w:t>
            </w:r>
          </w:p>
        </w:tc>
        <w:tc>
          <w:tcPr>
            <w:tcW w:w="0" w:type="auto"/>
            <w:tcMar>
              <w:top w:w="0" w:type="dxa"/>
              <w:left w:w="115" w:type="dxa"/>
              <w:bottom w:w="0" w:type="dxa"/>
              <w:right w:w="115" w:type="dxa"/>
            </w:tcMar>
            <w:hideMark/>
          </w:tcPr>
          <w:p w14:paraId="464D0DCF"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rPr>
              <w:t>4</w:t>
            </w:r>
          </w:p>
        </w:tc>
      </w:tr>
      <w:tr w:rsidR="00DB79B5" w:rsidRPr="005E37E3" w14:paraId="033A0CB4" w14:textId="77777777" w:rsidTr="0087537A">
        <w:tc>
          <w:tcPr>
            <w:tcW w:w="0" w:type="auto"/>
            <w:tcMar>
              <w:top w:w="0" w:type="dxa"/>
              <w:left w:w="115" w:type="dxa"/>
              <w:bottom w:w="0" w:type="dxa"/>
              <w:right w:w="115" w:type="dxa"/>
            </w:tcMar>
            <w:hideMark/>
          </w:tcPr>
          <w:p w14:paraId="44CBEDD5"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rPr>
              <w:lastRenderedPageBreak/>
              <w:t>Article 371 Flexible Bus Systems</w:t>
            </w:r>
          </w:p>
        </w:tc>
        <w:tc>
          <w:tcPr>
            <w:tcW w:w="0" w:type="auto"/>
            <w:tcMar>
              <w:top w:w="0" w:type="dxa"/>
              <w:left w:w="115" w:type="dxa"/>
              <w:bottom w:w="0" w:type="dxa"/>
              <w:right w:w="115" w:type="dxa"/>
            </w:tcMar>
            <w:hideMark/>
          </w:tcPr>
          <w:p w14:paraId="5E6FD48D"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rPr>
              <w:t>3</w:t>
            </w:r>
          </w:p>
        </w:tc>
      </w:tr>
      <w:tr w:rsidR="00DB79B5" w:rsidRPr="005E37E3" w14:paraId="0804D2D3" w14:textId="77777777" w:rsidTr="0087537A">
        <w:tc>
          <w:tcPr>
            <w:tcW w:w="0" w:type="auto"/>
            <w:tcMar>
              <w:top w:w="0" w:type="dxa"/>
              <w:left w:w="115" w:type="dxa"/>
              <w:bottom w:w="0" w:type="dxa"/>
              <w:right w:w="115" w:type="dxa"/>
            </w:tcMar>
            <w:hideMark/>
          </w:tcPr>
          <w:p w14:paraId="650602F2"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rPr>
              <w:t>Conclusion</w:t>
            </w:r>
          </w:p>
        </w:tc>
        <w:tc>
          <w:tcPr>
            <w:tcW w:w="0" w:type="auto"/>
            <w:tcMar>
              <w:top w:w="0" w:type="dxa"/>
              <w:left w:w="115" w:type="dxa"/>
              <w:bottom w:w="0" w:type="dxa"/>
              <w:right w:w="115" w:type="dxa"/>
            </w:tcMar>
            <w:hideMark/>
          </w:tcPr>
          <w:p w14:paraId="32ABE88A"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rPr>
              <w:t>2</w:t>
            </w:r>
          </w:p>
        </w:tc>
      </w:tr>
      <w:tr w:rsidR="00DB79B5" w:rsidRPr="005E37E3" w14:paraId="544EBB2B" w14:textId="77777777" w:rsidTr="0087537A">
        <w:tc>
          <w:tcPr>
            <w:tcW w:w="0" w:type="auto"/>
            <w:tcMar>
              <w:top w:w="0" w:type="dxa"/>
              <w:left w:w="115" w:type="dxa"/>
              <w:bottom w:w="0" w:type="dxa"/>
              <w:right w:w="115" w:type="dxa"/>
            </w:tcMar>
            <w:hideMark/>
          </w:tcPr>
          <w:p w14:paraId="3C189037" w14:textId="77777777" w:rsidR="0087537A" w:rsidRPr="005E37E3" w:rsidRDefault="0087537A" w:rsidP="0087537A">
            <w:pPr>
              <w:rPr>
                <w:rFonts w:asciiTheme="majorHAnsi" w:eastAsia="Times New Roman" w:hAnsiTheme="majorHAnsi" w:cstheme="majorHAnsi"/>
              </w:rPr>
            </w:pPr>
          </w:p>
        </w:tc>
        <w:tc>
          <w:tcPr>
            <w:tcW w:w="0" w:type="auto"/>
            <w:tcMar>
              <w:top w:w="0" w:type="dxa"/>
              <w:left w:w="115" w:type="dxa"/>
              <w:bottom w:w="0" w:type="dxa"/>
              <w:right w:w="115" w:type="dxa"/>
            </w:tcMar>
            <w:hideMark/>
          </w:tcPr>
          <w:p w14:paraId="1561643A" w14:textId="77777777" w:rsidR="0087537A" w:rsidRPr="005E37E3" w:rsidRDefault="0087537A" w:rsidP="0087537A">
            <w:pPr>
              <w:rPr>
                <w:rFonts w:asciiTheme="majorHAnsi" w:eastAsia="Times New Roman" w:hAnsiTheme="majorHAnsi" w:cstheme="majorHAnsi"/>
              </w:rPr>
            </w:pPr>
          </w:p>
        </w:tc>
      </w:tr>
      <w:tr w:rsidR="00DB79B5" w:rsidRPr="005E37E3" w14:paraId="1AB72D6F" w14:textId="77777777" w:rsidTr="0087537A">
        <w:tc>
          <w:tcPr>
            <w:tcW w:w="0" w:type="auto"/>
            <w:tcMar>
              <w:top w:w="0" w:type="dxa"/>
              <w:left w:w="115" w:type="dxa"/>
              <w:bottom w:w="0" w:type="dxa"/>
              <w:right w:w="115" w:type="dxa"/>
            </w:tcMar>
            <w:hideMark/>
          </w:tcPr>
          <w:p w14:paraId="6B6F4001" w14:textId="77777777" w:rsidR="0087537A" w:rsidRPr="005E37E3" w:rsidRDefault="0087537A" w:rsidP="0087537A">
            <w:pPr>
              <w:rPr>
                <w:rFonts w:asciiTheme="majorHAnsi" w:eastAsia="Times New Roman" w:hAnsiTheme="majorHAnsi" w:cstheme="majorHAnsi"/>
              </w:rPr>
            </w:pPr>
          </w:p>
        </w:tc>
        <w:tc>
          <w:tcPr>
            <w:tcW w:w="0" w:type="auto"/>
            <w:tcMar>
              <w:top w:w="0" w:type="dxa"/>
              <w:left w:w="115" w:type="dxa"/>
              <w:bottom w:w="0" w:type="dxa"/>
              <w:right w:w="115" w:type="dxa"/>
            </w:tcMar>
            <w:hideMark/>
          </w:tcPr>
          <w:p w14:paraId="25F748F9" w14:textId="77777777" w:rsidR="0087537A" w:rsidRPr="005E37E3" w:rsidRDefault="0087537A" w:rsidP="0087537A">
            <w:pPr>
              <w:rPr>
                <w:rFonts w:asciiTheme="majorHAnsi" w:eastAsia="Times New Roman" w:hAnsiTheme="majorHAnsi" w:cstheme="majorHAnsi"/>
              </w:rPr>
            </w:pPr>
          </w:p>
        </w:tc>
      </w:tr>
      <w:tr w:rsidR="00DB79B5" w:rsidRPr="005E37E3" w14:paraId="22071354" w14:textId="77777777" w:rsidTr="0087537A">
        <w:tc>
          <w:tcPr>
            <w:tcW w:w="0" w:type="auto"/>
            <w:tcMar>
              <w:top w:w="0" w:type="dxa"/>
              <w:left w:w="115" w:type="dxa"/>
              <w:bottom w:w="0" w:type="dxa"/>
              <w:right w:w="115" w:type="dxa"/>
            </w:tcMar>
            <w:hideMark/>
          </w:tcPr>
          <w:p w14:paraId="0056BEEA" w14:textId="77777777" w:rsidR="0087537A" w:rsidRPr="005E37E3" w:rsidRDefault="0087537A" w:rsidP="0087537A">
            <w:pPr>
              <w:rPr>
                <w:rFonts w:asciiTheme="majorHAnsi" w:eastAsia="Times New Roman" w:hAnsiTheme="majorHAnsi" w:cstheme="majorHAnsi"/>
              </w:rPr>
            </w:pPr>
          </w:p>
        </w:tc>
        <w:tc>
          <w:tcPr>
            <w:tcW w:w="0" w:type="auto"/>
            <w:tcMar>
              <w:top w:w="0" w:type="dxa"/>
              <w:left w:w="115" w:type="dxa"/>
              <w:bottom w:w="0" w:type="dxa"/>
              <w:right w:w="115" w:type="dxa"/>
            </w:tcMar>
            <w:hideMark/>
          </w:tcPr>
          <w:p w14:paraId="1AE6C458" w14:textId="77777777" w:rsidR="0087537A" w:rsidRPr="005E37E3" w:rsidRDefault="0087537A" w:rsidP="0087537A">
            <w:pPr>
              <w:rPr>
                <w:rFonts w:asciiTheme="majorHAnsi" w:eastAsia="Times New Roman" w:hAnsiTheme="majorHAnsi" w:cstheme="majorHAnsi"/>
              </w:rPr>
            </w:pPr>
          </w:p>
        </w:tc>
      </w:tr>
      <w:tr w:rsidR="00DB79B5" w:rsidRPr="005E37E3" w14:paraId="3501F0AF" w14:textId="77777777" w:rsidTr="0087537A">
        <w:tc>
          <w:tcPr>
            <w:tcW w:w="0" w:type="auto"/>
            <w:tcMar>
              <w:top w:w="0" w:type="dxa"/>
              <w:left w:w="115" w:type="dxa"/>
              <w:bottom w:w="0" w:type="dxa"/>
              <w:right w:w="115" w:type="dxa"/>
            </w:tcMar>
            <w:hideMark/>
          </w:tcPr>
          <w:p w14:paraId="047D3797"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b/>
                <w:bCs/>
              </w:rPr>
              <w:t>Course Total</w:t>
            </w:r>
          </w:p>
        </w:tc>
        <w:tc>
          <w:tcPr>
            <w:tcW w:w="0" w:type="auto"/>
            <w:tcMar>
              <w:top w:w="0" w:type="dxa"/>
              <w:left w:w="115" w:type="dxa"/>
              <w:bottom w:w="0" w:type="dxa"/>
              <w:right w:w="115" w:type="dxa"/>
            </w:tcMar>
            <w:hideMark/>
          </w:tcPr>
          <w:p w14:paraId="52CA4690"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b/>
                <w:bCs/>
              </w:rPr>
              <w:t>52</w:t>
            </w:r>
          </w:p>
        </w:tc>
      </w:tr>
      <w:tr w:rsidR="00DB79B5" w:rsidRPr="005E37E3" w14:paraId="2307D7EC" w14:textId="77777777" w:rsidTr="0087537A">
        <w:tc>
          <w:tcPr>
            <w:tcW w:w="0" w:type="auto"/>
            <w:tcMar>
              <w:top w:w="0" w:type="dxa"/>
              <w:left w:w="115" w:type="dxa"/>
              <w:bottom w:w="0" w:type="dxa"/>
              <w:right w:w="115" w:type="dxa"/>
            </w:tcMar>
            <w:hideMark/>
          </w:tcPr>
          <w:p w14:paraId="267B3268" w14:textId="77777777" w:rsidR="0087537A" w:rsidRPr="005E37E3" w:rsidRDefault="0087537A" w:rsidP="0087537A">
            <w:pPr>
              <w:ind w:left="500" w:right="150"/>
              <w:rPr>
                <w:rFonts w:asciiTheme="majorHAnsi" w:eastAsia="Times New Roman" w:hAnsiTheme="majorHAnsi" w:cstheme="majorHAnsi"/>
              </w:rPr>
            </w:pPr>
            <w:r w:rsidRPr="005E37E3">
              <w:rPr>
                <w:rFonts w:asciiTheme="majorHAnsi" w:eastAsia="Times New Roman" w:hAnsiTheme="majorHAnsi" w:cstheme="majorHAnsi"/>
                <w:b/>
                <w:bCs/>
              </w:rPr>
              <w:t>+ Study Exercises (TS)/Checkpoints (RV) (10% Course Total)</w:t>
            </w:r>
          </w:p>
        </w:tc>
        <w:tc>
          <w:tcPr>
            <w:tcW w:w="0" w:type="auto"/>
            <w:tcMar>
              <w:top w:w="0" w:type="dxa"/>
              <w:left w:w="115" w:type="dxa"/>
              <w:bottom w:w="0" w:type="dxa"/>
              <w:right w:w="115" w:type="dxa"/>
            </w:tcMar>
            <w:hideMark/>
          </w:tcPr>
          <w:p w14:paraId="5F498889"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b/>
                <w:bCs/>
              </w:rPr>
              <w:t>5.2</w:t>
            </w:r>
          </w:p>
        </w:tc>
      </w:tr>
      <w:tr w:rsidR="00DB79B5" w:rsidRPr="005E37E3" w14:paraId="0C59E261" w14:textId="77777777" w:rsidTr="0087537A">
        <w:tc>
          <w:tcPr>
            <w:tcW w:w="0" w:type="auto"/>
            <w:tcMar>
              <w:top w:w="0" w:type="dxa"/>
              <w:left w:w="115" w:type="dxa"/>
              <w:bottom w:w="0" w:type="dxa"/>
              <w:right w:w="115" w:type="dxa"/>
            </w:tcMar>
            <w:hideMark/>
          </w:tcPr>
          <w:p w14:paraId="7EF33EA4" w14:textId="77777777" w:rsidR="0087537A" w:rsidRPr="005E37E3" w:rsidRDefault="0087537A" w:rsidP="0087537A">
            <w:pPr>
              <w:ind w:left="500"/>
              <w:rPr>
                <w:rFonts w:asciiTheme="majorHAnsi" w:eastAsia="Times New Roman" w:hAnsiTheme="majorHAnsi" w:cstheme="majorHAnsi"/>
              </w:rPr>
            </w:pPr>
            <w:r w:rsidRPr="005E37E3">
              <w:rPr>
                <w:rFonts w:asciiTheme="majorHAnsi" w:eastAsia="Times New Roman" w:hAnsiTheme="majorHAnsi" w:cstheme="majorHAnsi"/>
                <w:b/>
                <w:bCs/>
              </w:rPr>
              <w:t>+ Supporting Documents (word count/145)</w:t>
            </w:r>
          </w:p>
        </w:tc>
        <w:tc>
          <w:tcPr>
            <w:tcW w:w="0" w:type="auto"/>
            <w:tcMar>
              <w:top w:w="0" w:type="dxa"/>
              <w:left w:w="115" w:type="dxa"/>
              <w:bottom w:w="0" w:type="dxa"/>
              <w:right w:w="115" w:type="dxa"/>
            </w:tcMar>
            <w:hideMark/>
          </w:tcPr>
          <w:p w14:paraId="54B70579" w14:textId="77777777" w:rsidR="0087537A" w:rsidRPr="005E37E3" w:rsidRDefault="0087537A" w:rsidP="0087537A">
            <w:pPr>
              <w:rPr>
                <w:rFonts w:asciiTheme="majorHAnsi" w:eastAsia="Times New Roman" w:hAnsiTheme="majorHAnsi" w:cstheme="majorHAnsi"/>
              </w:rPr>
            </w:pPr>
          </w:p>
        </w:tc>
      </w:tr>
      <w:tr w:rsidR="00DB79B5" w:rsidRPr="005E37E3" w14:paraId="4DEBD60E" w14:textId="77777777" w:rsidTr="0087537A">
        <w:tc>
          <w:tcPr>
            <w:tcW w:w="0" w:type="auto"/>
            <w:tcMar>
              <w:top w:w="0" w:type="dxa"/>
              <w:left w:w="115" w:type="dxa"/>
              <w:bottom w:w="0" w:type="dxa"/>
              <w:right w:w="115" w:type="dxa"/>
            </w:tcMar>
            <w:hideMark/>
          </w:tcPr>
          <w:p w14:paraId="6F4E5A88"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b/>
                <w:bCs/>
              </w:rPr>
              <w:t>= Grand Total</w:t>
            </w:r>
          </w:p>
        </w:tc>
        <w:tc>
          <w:tcPr>
            <w:tcW w:w="0" w:type="auto"/>
            <w:tcMar>
              <w:top w:w="0" w:type="dxa"/>
              <w:left w:w="115" w:type="dxa"/>
              <w:bottom w:w="0" w:type="dxa"/>
              <w:right w:w="115" w:type="dxa"/>
            </w:tcMar>
            <w:hideMark/>
          </w:tcPr>
          <w:p w14:paraId="2BF4158F" w14:textId="77777777" w:rsidR="0087537A" w:rsidRPr="005E37E3" w:rsidRDefault="0087537A" w:rsidP="0087537A">
            <w:pPr>
              <w:ind w:left="150"/>
              <w:rPr>
                <w:rFonts w:asciiTheme="majorHAnsi" w:eastAsia="Times New Roman" w:hAnsiTheme="majorHAnsi" w:cstheme="majorHAnsi"/>
              </w:rPr>
            </w:pPr>
            <w:r w:rsidRPr="005E37E3">
              <w:rPr>
                <w:rFonts w:asciiTheme="majorHAnsi" w:eastAsia="Times New Roman" w:hAnsiTheme="majorHAnsi" w:cstheme="majorHAnsi"/>
                <w:b/>
                <w:bCs/>
              </w:rPr>
              <w:t>57.2</w:t>
            </w:r>
          </w:p>
        </w:tc>
      </w:tr>
    </w:tbl>
    <w:p w14:paraId="01281C3C" w14:textId="77777777" w:rsidR="009750E8" w:rsidRPr="005E37E3" w:rsidRDefault="009750E8">
      <w:pPr>
        <w:rPr>
          <w:rFonts w:asciiTheme="majorHAnsi" w:hAnsiTheme="majorHAnsi" w:cstheme="majorHAnsi"/>
        </w:rPr>
      </w:pPr>
    </w:p>
    <w:p w14:paraId="7ACFDE78" w14:textId="77777777" w:rsidR="009750E8" w:rsidRPr="005E37E3" w:rsidRDefault="00000000">
      <w:pPr>
        <w:pStyle w:val="Heading1"/>
        <w:rPr>
          <w:rFonts w:asciiTheme="majorHAnsi" w:hAnsiTheme="majorHAnsi" w:cstheme="majorHAnsi"/>
        </w:rPr>
      </w:pPr>
      <w:r w:rsidRPr="005E37E3">
        <w:rPr>
          <w:rFonts w:asciiTheme="majorHAnsi" w:hAnsiTheme="majorHAnsi" w:cstheme="majorHAnsi"/>
        </w:rPr>
        <w:t xml:space="preserve">AVAILABILITY </w:t>
      </w:r>
    </w:p>
    <w:p w14:paraId="13969609" w14:textId="77777777" w:rsidR="009750E8" w:rsidRPr="005E37E3" w:rsidRDefault="00000000">
      <w:pPr>
        <w:rPr>
          <w:rFonts w:asciiTheme="majorHAnsi" w:hAnsiTheme="majorHAnsi" w:cstheme="majorHAnsi"/>
        </w:rPr>
      </w:pPr>
      <w:r w:rsidRPr="005E37E3">
        <w:rPr>
          <w:rFonts w:asciiTheme="majorHAnsi" w:hAnsiTheme="majorHAnsi" w:cstheme="majorHAnsi"/>
        </w:rPr>
        <w:t>This course is offered online and is available 24 hours a day, 7 days a week, 365 days a year.</w:t>
      </w:r>
    </w:p>
    <w:p w14:paraId="1306A0A1" w14:textId="77777777" w:rsidR="009750E8" w:rsidRPr="005E37E3" w:rsidRDefault="009750E8">
      <w:pPr>
        <w:rPr>
          <w:rFonts w:asciiTheme="majorHAnsi" w:hAnsiTheme="majorHAnsi" w:cstheme="majorHAnsi"/>
        </w:rPr>
      </w:pPr>
    </w:p>
    <w:p w14:paraId="004CED4D" w14:textId="77777777" w:rsidR="009750E8" w:rsidRPr="005E37E3" w:rsidRDefault="00000000">
      <w:pPr>
        <w:pStyle w:val="Heading1"/>
        <w:rPr>
          <w:rFonts w:asciiTheme="majorHAnsi" w:hAnsiTheme="majorHAnsi" w:cstheme="majorHAnsi"/>
        </w:rPr>
      </w:pPr>
      <w:r w:rsidRPr="005E37E3">
        <w:rPr>
          <w:rFonts w:asciiTheme="majorHAnsi" w:hAnsiTheme="majorHAnsi" w:cstheme="majorHAnsi"/>
        </w:rPr>
        <w:t xml:space="preserve">TRAINING METHODOLOGY &amp; EVALUATION </w:t>
      </w:r>
    </w:p>
    <w:p w14:paraId="223847EA" w14:textId="77777777" w:rsidR="009750E8" w:rsidRPr="005E37E3" w:rsidRDefault="00000000">
      <w:pPr>
        <w:rPr>
          <w:rFonts w:asciiTheme="majorHAnsi" w:hAnsiTheme="majorHAnsi" w:cstheme="majorHAnsi"/>
        </w:rPr>
      </w:pPr>
      <w:r w:rsidRPr="005E37E3">
        <w:rPr>
          <w:rFonts w:asciiTheme="majorHAnsi" w:hAnsiTheme="majorHAnsi" w:cstheme="majorHAnsi"/>
        </w:rPr>
        <w:t>This course is self-paced online training. Review exercises reinforce the content, and students are evaluated with a multiple-choice exam. Upon completion, students are prompted to submit a course evaluation.</w:t>
      </w:r>
    </w:p>
    <w:p w14:paraId="642BA48A" w14:textId="77777777" w:rsidR="009750E8" w:rsidRPr="005E37E3" w:rsidRDefault="009750E8">
      <w:pPr>
        <w:rPr>
          <w:rFonts w:asciiTheme="majorHAnsi" w:hAnsiTheme="majorHAnsi" w:cstheme="majorHAnsi"/>
        </w:rPr>
      </w:pPr>
    </w:p>
    <w:p w14:paraId="795423C3" w14:textId="77777777" w:rsidR="009750E8" w:rsidRPr="005E37E3" w:rsidRDefault="00000000" w:rsidP="00DB79B5">
      <w:pPr>
        <w:contextualSpacing/>
        <w:rPr>
          <w:rFonts w:asciiTheme="majorHAnsi" w:hAnsiTheme="majorHAnsi" w:cstheme="majorHAnsi"/>
          <w:b/>
        </w:rPr>
      </w:pPr>
      <w:r w:rsidRPr="005E37E3">
        <w:rPr>
          <w:rFonts w:asciiTheme="majorHAnsi" w:hAnsiTheme="majorHAnsi" w:cstheme="majorHAnsi"/>
          <w:b/>
        </w:rPr>
        <w:t>REFERENCES</w:t>
      </w:r>
    </w:p>
    <w:p w14:paraId="22A400B5" w14:textId="434E59F5" w:rsidR="00DB79B5" w:rsidRPr="005E37E3" w:rsidRDefault="00DB79B5" w:rsidP="00DB79B5">
      <w:pPr>
        <w:pStyle w:val="Heading1"/>
        <w:shd w:val="clear" w:color="auto" w:fill="FFFFFF"/>
        <w:contextualSpacing/>
        <w:rPr>
          <w:rFonts w:asciiTheme="majorHAnsi" w:hAnsiTheme="majorHAnsi" w:cstheme="majorHAnsi"/>
          <w:b w:val="0"/>
          <w:bCs/>
        </w:rPr>
      </w:pPr>
      <w:r w:rsidRPr="005E37E3">
        <w:rPr>
          <w:rStyle w:val="a-size-extra-large"/>
          <w:rFonts w:asciiTheme="majorHAnsi" w:hAnsiTheme="majorHAnsi" w:cstheme="majorHAnsi"/>
          <w:b w:val="0"/>
          <w:bCs/>
        </w:rPr>
        <w:t xml:space="preserve">National Electrical Code, 2023 Edition, </w:t>
      </w:r>
      <w:r w:rsidRPr="005E37E3">
        <w:rPr>
          <w:rFonts w:asciiTheme="majorHAnsi" w:hAnsiTheme="majorHAnsi" w:cstheme="majorHAnsi"/>
          <w:b w:val="0"/>
          <w:bCs/>
        </w:rPr>
        <w:t>Articles 320, 334, 336, 342, 352, 356, 358, 369, and 371.</w:t>
      </w:r>
    </w:p>
    <w:p w14:paraId="2BECE3AE" w14:textId="77777777" w:rsidR="009750E8" w:rsidRPr="005E37E3" w:rsidRDefault="009750E8" w:rsidP="00DB79B5">
      <w:pPr>
        <w:contextualSpacing/>
        <w:rPr>
          <w:rFonts w:asciiTheme="majorHAnsi" w:hAnsiTheme="majorHAnsi" w:cstheme="majorHAnsi"/>
        </w:rPr>
      </w:pPr>
    </w:p>
    <w:sectPr w:rsidR="009750E8" w:rsidRPr="005E37E3">
      <w:headerReference w:type="even" r:id="rId7"/>
      <w:headerReference w:type="default" r:id="rId8"/>
      <w:footerReference w:type="even" r:id="rId9"/>
      <w:footerReference w:type="default" r:id="rId10"/>
      <w:headerReference w:type="first" r:id="rId11"/>
      <w:footerReference w:type="first" r:id="rId12"/>
      <w:pgSz w:w="12240" w:h="15840"/>
      <w:pgMar w:top="1080"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C43B" w14:textId="77777777" w:rsidR="00072395" w:rsidRDefault="00072395">
      <w:r>
        <w:separator/>
      </w:r>
    </w:p>
  </w:endnote>
  <w:endnote w:type="continuationSeparator" w:id="0">
    <w:p w14:paraId="5BF0C27C" w14:textId="77777777" w:rsidR="00072395" w:rsidRDefault="0007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0A4D" w14:textId="77777777" w:rsidR="009750E8" w:rsidRDefault="00975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CC1C" w14:textId="77777777" w:rsidR="009750E8" w:rsidRDefault="009750E8">
    <w:pPr>
      <w:tabs>
        <w:tab w:val="center" w:pos="4680"/>
        <w:tab w:val="right" w:pos="9360"/>
      </w:tabs>
    </w:pPr>
  </w:p>
  <w:p w14:paraId="12312072" w14:textId="77777777" w:rsidR="009750E8" w:rsidRDefault="00000000">
    <w:pPr>
      <w:tabs>
        <w:tab w:val="center" w:pos="4680"/>
        <w:tab w:val="right" w:pos="9360"/>
      </w:tabs>
      <w:rPr>
        <w:color w:val="000000"/>
      </w:rPr>
    </w:pPr>
    <w:r>
      <w:t xml:space="preserve">Page </w:t>
    </w: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2</w:t>
    </w:r>
    <w:r>
      <w:fldChar w:fldCharType="end"/>
    </w:r>
    <w:r>
      <w:tab/>
    </w:r>
    <w:r>
      <w:tab/>
      <w:t>© Vector Solutions</w:t>
    </w:r>
  </w:p>
  <w:p w14:paraId="01B679D4" w14:textId="77777777" w:rsidR="009750E8" w:rsidRDefault="009750E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4688" w14:textId="77777777" w:rsidR="009750E8" w:rsidRDefault="009750E8">
    <w:pPr>
      <w:pBdr>
        <w:top w:val="nil"/>
        <w:left w:val="nil"/>
        <w:bottom w:val="nil"/>
        <w:right w:val="nil"/>
        <w:between w:val="nil"/>
      </w:pBdr>
      <w:tabs>
        <w:tab w:val="center" w:pos="4680"/>
        <w:tab w:val="right" w:pos="9360"/>
      </w:tabs>
    </w:pPr>
  </w:p>
  <w:p w14:paraId="3FF28D5F" w14:textId="77777777" w:rsidR="009750E8" w:rsidRDefault="00000000">
    <w:pPr>
      <w:pBdr>
        <w:top w:val="nil"/>
        <w:left w:val="nil"/>
        <w:bottom w:val="nil"/>
        <w:right w:val="nil"/>
        <w:between w:val="nil"/>
      </w:pBdr>
      <w:tabs>
        <w:tab w:val="center" w:pos="4680"/>
        <w:tab w:val="right" w:pos="9360"/>
      </w:tabs>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r>
      <w:rPr>
        <w:color w:val="000000"/>
      </w:rPr>
      <w:tab/>
    </w:r>
    <w:r>
      <w:rPr>
        <w:color w:val="000000"/>
      </w:rPr>
      <w:tab/>
      <w:t>© Vector Solutions</w:t>
    </w:r>
  </w:p>
  <w:p w14:paraId="572657AB" w14:textId="77777777" w:rsidR="009750E8" w:rsidRDefault="009750E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35AE" w14:textId="77777777" w:rsidR="00072395" w:rsidRDefault="00072395">
      <w:r>
        <w:separator/>
      </w:r>
    </w:p>
  </w:footnote>
  <w:footnote w:type="continuationSeparator" w:id="0">
    <w:p w14:paraId="4EB23F5D" w14:textId="77777777" w:rsidR="00072395" w:rsidRDefault="0007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562E" w14:textId="77777777" w:rsidR="009750E8" w:rsidRDefault="00975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C56C" w14:textId="77777777" w:rsidR="009750E8" w:rsidRDefault="009750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B72E" w14:textId="77777777" w:rsidR="009750E8" w:rsidRDefault="00000000">
    <w:pPr>
      <w:pBdr>
        <w:top w:val="nil"/>
        <w:left w:val="nil"/>
        <w:bottom w:val="single" w:sz="24" w:space="1" w:color="000000"/>
        <w:right w:val="nil"/>
        <w:between w:val="nil"/>
      </w:pBdr>
      <w:spacing w:after="240" w:line="360" w:lineRule="auto"/>
      <w:rPr>
        <w:color w:val="000000"/>
      </w:rPr>
    </w:pPr>
    <w:r>
      <w:rPr>
        <w:b/>
        <w:color w:val="000000"/>
        <w:sz w:val="32"/>
        <w:szCs w:val="32"/>
      </w:rPr>
      <w:t xml:space="preserve">Course Description 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BE7"/>
    <w:multiLevelType w:val="multilevel"/>
    <w:tmpl w:val="307C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F6191"/>
    <w:multiLevelType w:val="multilevel"/>
    <w:tmpl w:val="9EF6B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1B4740"/>
    <w:multiLevelType w:val="hybridMultilevel"/>
    <w:tmpl w:val="34A0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E5CBA"/>
    <w:multiLevelType w:val="multilevel"/>
    <w:tmpl w:val="331650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7B5CF1"/>
    <w:multiLevelType w:val="hybridMultilevel"/>
    <w:tmpl w:val="B1D8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3343A"/>
    <w:multiLevelType w:val="hybridMultilevel"/>
    <w:tmpl w:val="83443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116A5"/>
    <w:multiLevelType w:val="multilevel"/>
    <w:tmpl w:val="DE38B0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6B45B9F"/>
    <w:multiLevelType w:val="hybridMultilevel"/>
    <w:tmpl w:val="76DC3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E62F24"/>
    <w:multiLevelType w:val="multilevel"/>
    <w:tmpl w:val="75B051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965702219">
    <w:abstractNumId w:val="3"/>
  </w:num>
  <w:num w:numId="2" w16cid:durableId="2058580682">
    <w:abstractNumId w:val="8"/>
  </w:num>
  <w:num w:numId="3" w16cid:durableId="30539999">
    <w:abstractNumId w:val="6"/>
  </w:num>
  <w:num w:numId="4" w16cid:durableId="476149386">
    <w:abstractNumId w:val="0"/>
  </w:num>
  <w:num w:numId="5" w16cid:durableId="1417478649">
    <w:abstractNumId w:val="1"/>
  </w:num>
  <w:num w:numId="6" w16cid:durableId="1383824707">
    <w:abstractNumId w:val="2"/>
  </w:num>
  <w:num w:numId="7" w16cid:durableId="456415222">
    <w:abstractNumId w:val="5"/>
  </w:num>
  <w:num w:numId="8" w16cid:durableId="2101872278">
    <w:abstractNumId w:val="7"/>
  </w:num>
  <w:num w:numId="9" w16cid:durableId="859969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0E8"/>
    <w:rsid w:val="00072395"/>
    <w:rsid w:val="001740F3"/>
    <w:rsid w:val="005E37E3"/>
    <w:rsid w:val="0087537A"/>
    <w:rsid w:val="009750E8"/>
    <w:rsid w:val="00A47FC5"/>
    <w:rsid w:val="00DB79B5"/>
    <w:rsid w:val="00F2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AF23"/>
  <w15:docId w15:val="{B41F8A74-ACE7-4913-8932-6F2D1EDA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before="100" w:after="100"/>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a-size-extra-large">
    <w:name w:val="a-size-extra-large"/>
    <w:basedOn w:val="DefaultParagraphFont"/>
    <w:rsid w:val="00DB79B5"/>
  </w:style>
  <w:style w:type="character" w:customStyle="1" w:styleId="normaltextrun">
    <w:name w:val="normaltextrun"/>
    <w:basedOn w:val="DefaultParagraphFont"/>
    <w:rsid w:val="005E3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0964">
      <w:bodyDiv w:val="1"/>
      <w:marLeft w:val="0"/>
      <w:marRight w:val="0"/>
      <w:marTop w:val="0"/>
      <w:marBottom w:val="0"/>
      <w:divBdr>
        <w:top w:val="none" w:sz="0" w:space="0" w:color="auto"/>
        <w:left w:val="none" w:sz="0" w:space="0" w:color="auto"/>
        <w:bottom w:val="none" w:sz="0" w:space="0" w:color="auto"/>
        <w:right w:val="none" w:sz="0" w:space="0" w:color="auto"/>
      </w:divBdr>
    </w:div>
    <w:div w:id="586621875">
      <w:bodyDiv w:val="1"/>
      <w:marLeft w:val="0"/>
      <w:marRight w:val="0"/>
      <w:marTop w:val="0"/>
      <w:marBottom w:val="0"/>
      <w:divBdr>
        <w:top w:val="none" w:sz="0" w:space="0" w:color="auto"/>
        <w:left w:val="none" w:sz="0" w:space="0" w:color="auto"/>
        <w:bottom w:val="none" w:sz="0" w:space="0" w:color="auto"/>
        <w:right w:val="none" w:sz="0" w:space="0" w:color="auto"/>
      </w:divBdr>
      <w:divsChild>
        <w:div w:id="757404140">
          <w:marLeft w:val="-115"/>
          <w:marRight w:val="0"/>
          <w:marTop w:val="0"/>
          <w:marBottom w:val="0"/>
          <w:divBdr>
            <w:top w:val="none" w:sz="0" w:space="0" w:color="auto"/>
            <w:left w:val="none" w:sz="0" w:space="0" w:color="auto"/>
            <w:bottom w:val="none" w:sz="0" w:space="0" w:color="auto"/>
            <w:right w:val="none" w:sz="0" w:space="0" w:color="auto"/>
          </w:divBdr>
        </w:div>
      </w:divsChild>
    </w:div>
    <w:div w:id="1020475516">
      <w:bodyDiv w:val="1"/>
      <w:marLeft w:val="0"/>
      <w:marRight w:val="0"/>
      <w:marTop w:val="0"/>
      <w:marBottom w:val="0"/>
      <w:divBdr>
        <w:top w:val="none" w:sz="0" w:space="0" w:color="auto"/>
        <w:left w:val="none" w:sz="0" w:space="0" w:color="auto"/>
        <w:bottom w:val="none" w:sz="0" w:space="0" w:color="auto"/>
        <w:right w:val="none" w:sz="0" w:space="0" w:color="auto"/>
      </w:divBdr>
    </w:div>
    <w:div w:id="1712993785">
      <w:bodyDiv w:val="1"/>
      <w:marLeft w:val="0"/>
      <w:marRight w:val="0"/>
      <w:marTop w:val="0"/>
      <w:marBottom w:val="0"/>
      <w:divBdr>
        <w:top w:val="none" w:sz="0" w:space="0" w:color="auto"/>
        <w:left w:val="none" w:sz="0" w:space="0" w:color="auto"/>
        <w:bottom w:val="none" w:sz="0" w:space="0" w:color="auto"/>
        <w:right w:val="none" w:sz="0" w:space="0" w:color="auto"/>
      </w:divBdr>
      <w:divsChild>
        <w:div w:id="1004436057">
          <w:marLeft w:val="-108"/>
          <w:marRight w:val="0"/>
          <w:marTop w:val="0"/>
          <w:marBottom w:val="0"/>
          <w:divBdr>
            <w:top w:val="none" w:sz="0" w:space="0" w:color="auto"/>
            <w:left w:val="none" w:sz="0" w:space="0" w:color="auto"/>
            <w:bottom w:val="none" w:sz="0" w:space="0" w:color="auto"/>
            <w:right w:val="none" w:sz="0" w:space="0" w:color="auto"/>
          </w:divBdr>
        </w:div>
      </w:divsChild>
    </w:div>
    <w:div w:id="1768698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R. Tuton</cp:lastModifiedBy>
  <cp:revision>4</cp:revision>
  <dcterms:created xsi:type="dcterms:W3CDTF">2023-08-09T13:40:00Z</dcterms:created>
  <dcterms:modified xsi:type="dcterms:W3CDTF">2023-08-23T18:38:00Z</dcterms:modified>
</cp:coreProperties>
</file>