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D00D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COURSE TITLE </w:t>
      </w:r>
    </w:p>
    <w:p w14:paraId="63612975" w14:textId="7C510271" w:rsidR="005A4687" w:rsidRPr="00B74251" w:rsidRDefault="00A152E7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  <w:shd w:val="clear" w:color="auto" w:fill="FFFFFF"/>
        </w:rPr>
        <w:t>2023 NEC Changes: Special Equipment</w:t>
      </w:r>
    </w:p>
    <w:p w14:paraId="21806A30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56767081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COURSE DURATION </w:t>
      </w:r>
    </w:p>
    <w:p w14:paraId="18C6E021" w14:textId="77777777" w:rsidR="005A4687" w:rsidRPr="00B74251" w:rsidRDefault="00000000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1 Hour</w:t>
      </w:r>
    </w:p>
    <w:p w14:paraId="20910E9C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77EA281F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OVERVIEW </w:t>
      </w:r>
    </w:p>
    <w:p w14:paraId="6B7C1326" w14:textId="142BF2B0" w:rsidR="00A152E7" w:rsidRPr="00B74251" w:rsidRDefault="00B74251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B74251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Are you up to code? This course covers some of the 2023 updates in the National Electrical Code®, including changes to Articles 604, 625, and 680. We will be discussing manufactured wiring systems, electric vehicle power transfer </w:t>
      </w:r>
      <w:proofErr w:type="gramStart"/>
      <w:r w:rsidRPr="00B74251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systems, and</w:t>
      </w:r>
      <w:proofErr w:type="gramEnd"/>
      <w:r w:rsidRPr="00B74251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swimming pools, fountains, and similar installations. These updates will help to keep you wired into the newest changes in the NEC®. </w:t>
      </w:r>
      <w:r w:rsidRPr="00B74251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7000114E" w14:textId="77777777" w:rsidR="00B74251" w:rsidRPr="00B74251" w:rsidRDefault="00B74251">
      <w:pPr>
        <w:rPr>
          <w:rFonts w:asciiTheme="majorHAnsi" w:hAnsiTheme="majorHAnsi" w:cstheme="majorHAnsi"/>
          <w:color w:val="000000" w:themeColor="text1"/>
        </w:rPr>
      </w:pPr>
    </w:p>
    <w:p w14:paraId="6CBA87BC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PREREQUISITES</w:t>
      </w:r>
    </w:p>
    <w:p w14:paraId="4AF628D0" w14:textId="77777777" w:rsidR="005A4687" w:rsidRPr="00B74251" w:rsidRDefault="00000000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No prior knowledge is required.</w:t>
      </w:r>
    </w:p>
    <w:p w14:paraId="60889498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72B96DAC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BEHAVIORAL OBJECTIVES</w:t>
      </w:r>
    </w:p>
    <w:p w14:paraId="4EB1533F" w14:textId="77777777" w:rsidR="005A4687" w:rsidRPr="00B74251" w:rsidRDefault="00000000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After successfully completing this course, you will be able to:</w:t>
      </w:r>
    </w:p>
    <w:p w14:paraId="4B73154F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List the types of manufactured wiring systems in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604.100</w:t>
      </w:r>
      <w:proofErr w:type="gramEnd"/>
    </w:p>
    <w:p w14:paraId="595D8F26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Explain the circuiting requirements for EVSE in 625.40</w:t>
      </w:r>
    </w:p>
    <w:p w14:paraId="7BD81919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Recall how energy management systems can be used for EVSE in 625.42</w:t>
      </w:r>
    </w:p>
    <w:p w14:paraId="53A216E6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List the changes to the swimming pool definitions in Article 100</w:t>
      </w:r>
    </w:p>
    <w:p w14:paraId="30183D84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Explain the GFCI and SPGFCI requirements of 680.5 for pools and similar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installations</w:t>
      </w:r>
      <w:proofErr w:type="gramEnd"/>
    </w:p>
    <w:p w14:paraId="002E5D00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Discuss the requirements for underground wiring around pools in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680.11</w:t>
      </w:r>
      <w:proofErr w:type="gramEnd"/>
    </w:p>
    <w:p w14:paraId="296426B3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List the requirements for equipment in the corrosive environments indicated in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680.14</w:t>
      </w:r>
      <w:proofErr w:type="gramEnd"/>
    </w:p>
    <w:p w14:paraId="6E2A9FEC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Explain the requirements for swimming pool motors in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680.21</w:t>
      </w:r>
      <w:proofErr w:type="gramEnd"/>
    </w:p>
    <w:p w14:paraId="36DFCA6B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Describe the equipotential bonding requirements for pool decks in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680.26</w:t>
      </w:r>
      <w:proofErr w:type="gramEnd"/>
    </w:p>
    <w:p w14:paraId="382639A5" w14:textId="77777777" w:rsidR="00A152E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List the separation requirements for equipment near hot tubs and immersion pools in 680.41 and </w:t>
      </w:r>
      <w:proofErr w:type="gramStart"/>
      <w:r w:rsidRPr="00B74251">
        <w:rPr>
          <w:rFonts w:asciiTheme="majorHAnsi" w:hAnsiTheme="majorHAnsi" w:cstheme="majorHAnsi"/>
          <w:color w:val="000000" w:themeColor="text1"/>
        </w:rPr>
        <w:t>680.50</w:t>
      </w:r>
      <w:proofErr w:type="gramEnd"/>
    </w:p>
    <w:p w14:paraId="03D38A28" w14:textId="6F3BC4F7" w:rsidR="005A4687" w:rsidRPr="00B74251" w:rsidRDefault="00A152E7" w:rsidP="00A152E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State the requirements for bonding around the splash pads discussed in 680.54</w:t>
      </w:r>
      <w:r w:rsidRPr="00B74251">
        <w:rPr>
          <w:rFonts w:asciiTheme="majorHAnsi" w:hAnsiTheme="majorHAnsi" w:cstheme="majorHAnsi"/>
          <w:color w:val="000000" w:themeColor="text1"/>
        </w:rPr>
        <w:br/>
      </w:r>
    </w:p>
    <w:p w14:paraId="6567D414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COURSE OUTLINE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288"/>
      </w:tblGrid>
      <w:tr w:rsidR="00A152E7" w:rsidRPr="00B74251" w14:paraId="72C8B1D4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E3DEC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Chapter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A64C5" w14:textId="77777777" w:rsidR="00A152E7" w:rsidRPr="00B74251" w:rsidRDefault="00A152E7" w:rsidP="00A152E7">
            <w:pPr>
              <w:ind w:left="150" w:righ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Minutes</w:t>
            </w:r>
          </w:p>
        </w:tc>
      </w:tr>
      <w:tr w:rsidR="00A152E7" w:rsidRPr="00B74251" w14:paraId="59BA483E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B112C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Introduction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E81E6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1</w:t>
            </w:r>
          </w:p>
        </w:tc>
      </w:tr>
      <w:tr w:rsidR="00A152E7" w:rsidRPr="00B74251" w14:paraId="76262186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5DBF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Article 604 Manufactured Wiring Systems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33F73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2</w:t>
            </w:r>
          </w:p>
        </w:tc>
      </w:tr>
      <w:tr w:rsidR="00A152E7" w:rsidRPr="00B74251" w14:paraId="186CDF29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1089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Article 625 Electric Vehicle Power Transfer Systems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41F2D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11</w:t>
            </w:r>
          </w:p>
        </w:tc>
      </w:tr>
      <w:tr w:rsidR="00A152E7" w:rsidRPr="00B74251" w14:paraId="72E79E48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9EB42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Article 680 Swimming Pools, Fountains, and Similar Installations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301C5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39</w:t>
            </w:r>
          </w:p>
        </w:tc>
      </w:tr>
      <w:tr w:rsidR="00A152E7" w:rsidRPr="00B74251" w14:paraId="1BC7381F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02771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Conclusion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5FA7D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color w:val="000000" w:themeColor="text1"/>
              </w:rPr>
              <w:t>1</w:t>
            </w:r>
          </w:p>
        </w:tc>
      </w:tr>
      <w:tr w:rsidR="00A152E7" w:rsidRPr="00B74251" w14:paraId="28FB3050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0C545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CB0E6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A152E7" w:rsidRPr="00B74251" w14:paraId="2073FC58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92ED9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7271B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A152E7" w:rsidRPr="00B74251" w14:paraId="287C57E5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48507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014D6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A152E7" w:rsidRPr="00B74251" w14:paraId="363C887D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4B34C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Course Total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F52E8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54</w:t>
            </w:r>
          </w:p>
        </w:tc>
      </w:tr>
      <w:tr w:rsidR="00A152E7" w:rsidRPr="00B74251" w14:paraId="5B4E3DB1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0724" w14:textId="77777777" w:rsidR="00A152E7" w:rsidRPr="00B74251" w:rsidRDefault="00A152E7" w:rsidP="00A152E7">
            <w:pPr>
              <w:ind w:left="500" w:righ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+ Study Exercises (TS)/Checkpoints (RV) (10% Course Total)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C0D9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5.4</w:t>
            </w:r>
          </w:p>
        </w:tc>
      </w:tr>
      <w:tr w:rsidR="00A152E7" w:rsidRPr="00B74251" w14:paraId="53D7E8E7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1889D" w14:textId="77777777" w:rsidR="00A152E7" w:rsidRPr="00B74251" w:rsidRDefault="00A152E7" w:rsidP="00A152E7">
            <w:pPr>
              <w:ind w:left="50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+ Supporting Documents (word count/145)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2DCA8" w14:textId="77777777" w:rsidR="00A152E7" w:rsidRPr="00B74251" w:rsidRDefault="00A152E7" w:rsidP="00A152E7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A152E7" w:rsidRPr="00B74251" w14:paraId="1A4A86FE" w14:textId="77777777" w:rsidTr="00A152E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ED7E3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= Grand Total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CDD81" w14:textId="77777777" w:rsidR="00A152E7" w:rsidRPr="00B74251" w:rsidRDefault="00A152E7" w:rsidP="00A152E7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7425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59.4</w:t>
            </w:r>
          </w:p>
        </w:tc>
      </w:tr>
    </w:tbl>
    <w:p w14:paraId="41A3E656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47C83FD8" w14:textId="77777777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 xml:space="preserve">AVAILABILITY </w:t>
      </w:r>
    </w:p>
    <w:p w14:paraId="684609B3" w14:textId="77777777" w:rsidR="005A4687" w:rsidRPr="00B74251" w:rsidRDefault="00000000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This course is offered online and is available 24 hours a day, 7 days a week, 365 days a year.</w:t>
      </w:r>
    </w:p>
    <w:p w14:paraId="61EEF5C3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4471120C" w14:textId="77777777" w:rsidR="00A152E7" w:rsidRPr="00B74251" w:rsidRDefault="00A152E7">
      <w:pPr>
        <w:pStyle w:val="Heading1"/>
        <w:rPr>
          <w:rFonts w:asciiTheme="majorHAnsi" w:hAnsiTheme="majorHAnsi" w:cstheme="majorHAnsi"/>
          <w:color w:val="000000" w:themeColor="text1"/>
        </w:rPr>
      </w:pPr>
    </w:p>
    <w:p w14:paraId="421E9A8F" w14:textId="77777777" w:rsidR="00A152E7" w:rsidRPr="00B74251" w:rsidRDefault="00A152E7">
      <w:pPr>
        <w:pStyle w:val="Heading1"/>
        <w:rPr>
          <w:rFonts w:asciiTheme="majorHAnsi" w:hAnsiTheme="majorHAnsi" w:cstheme="majorHAnsi"/>
          <w:color w:val="000000" w:themeColor="text1"/>
        </w:rPr>
      </w:pPr>
    </w:p>
    <w:p w14:paraId="27571C99" w14:textId="40CE36F1" w:rsidR="005A4687" w:rsidRPr="00B74251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lastRenderedPageBreak/>
        <w:t xml:space="preserve">TRAINING METHODOLOGY &amp; EVALUATION </w:t>
      </w:r>
    </w:p>
    <w:p w14:paraId="53F0DC7E" w14:textId="77777777" w:rsidR="005A4687" w:rsidRPr="00B74251" w:rsidRDefault="00000000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Fonts w:asciiTheme="majorHAnsi" w:hAnsiTheme="majorHAnsi" w:cstheme="majorHAnsi"/>
          <w:color w:val="000000" w:themeColor="text1"/>
        </w:rPr>
        <w:t>This course is self-paced online training. Review exercises reinforce the content, and students are evaluated with a multiple-choice exam. Upon completion, students are prompted to submit a course evaluation.</w:t>
      </w:r>
    </w:p>
    <w:p w14:paraId="5A47AF7B" w14:textId="77777777" w:rsidR="005A4687" w:rsidRPr="00B74251" w:rsidRDefault="005A4687">
      <w:pPr>
        <w:rPr>
          <w:rFonts w:asciiTheme="majorHAnsi" w:hAnsiTheme="majorHAnsi" w:cstheme="majorHAnsi"/>
          <w:color w:val="000000" w:themeColor="text1"/>
        </w:rPr>
      </w:pPr>
    </w:p>
    <w:p w14:paraId="0B23D622" w14:textId="77777777" w:rsidR="005A4687" w:rsidRPr="00B74251" w:rsidRDefault="00000000">
      <w:pPr>
        <w:rPr>
          <w:rFonts w:asciiTheme="majorHAnsi" w:hAnsiTheme="majorHAnsi" w:cstheme="majorHAnsi"/>
          <w:b/>
          <w:color w:val="000000" w:themeColor="text1"/>
        </w:rPr>
      </w:pPr>
      <w:r w:rsidRPr="00B74251">
        <w:rPr>
          <w:rFonts w:asciiTheme="majorHAnsi" w:hAnsiTheme="majorHAnsi" w:cstheme="majorHAnsi"/>
          <w:b/>
          <w:color w:val="000000" w:themeColor="text1"/>
        </w:rPr>
        <w:t>REFERENCES</w:t>
      </w:r>
    </w:p>
    <w:p w14:paraId="78DA7EA9" w14:textId="6676DE2D" w:rsidR="005A4687" w:rsidRPr="00B74251" w:rsidRDefault="00822926">
      <w:pPr>
        <w:rPr>
          <w:rFonts w:asciiTheme="majorHAnsi" w:hAnsiTheme="majorHAnsi" w:cstheme="majorHAnsi"/>
          <w:color w:val="000000" w:themeColor="text1"/>
        </w:rPr>
      </w:pPr>
      <w:r w:rsidRPr="00B74251">
        <w:rPr>
          <w:rStyle w:val="a-size-extra-large"/>
          <w:rFonts w:asciiTheme="majorHAnsi" w:hAnsiTheme="majorHAnsi" w:cstheme="majorHAnsi"/>
          <w:color w:val="000000" w:themeColor="text1"/>
        </w:rPr>
        <w:t>National Electrical Code, 2023 Edition,</w:t>
      </w:r>
      <w:r w:rsidR="00A152E7" w:rsidRPr="00B74251">
        <w:rPr>
          <w:rStyle w:val="a-size-extra-large"/>
          <w:rFonts w:asciiTheme="majorHAnsi" w:hAnsiTheme="majorHAnsi" w:cstheme="majorHAnsi"/>
          <w:color w:val="000000" w:themeColor="text1"/>
        </w:rPr>
        <w:t xml:space="preserve"> </w:t>
      </w:r>
      <w:r w:rsidR="00A152E7" w:rsidRPr="00B74251">
        <w:rPr>
          <w:rFonts w:asciiTheme="majorHAnsi" w:hAnsiTheme="majorHAnsi" w:cstheme="majorHAnsi"/>
          <w:color w:val="000000" w:themeColor="text1"/>
        </w:rPr>
        <w:t>Articles 604, 625, and 680.</w:t>
      </w:r>
    </w:p>
    <w:sectPr w:rsidR="005A4687" w:rsidRPr="00B74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9894" w14:textId="77777777" w:rsidR="00F208F1" w:rsidRDefault="00F208F1">
      <w:r>
        <w:separator/>
      </w:r>
    </w:p>
  </w:endnote>
  <w:endnote w:type="continuationSeparator" w:id="0">
    <w:p w14:paraId="1CE697F7" w14:textId="77777777" w:rsidR="00F208F1" w:rsidRDefault="00F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F1DA" w14:textId="77777777" w:rsidR="005A4687" w:rsidRDefault="005A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A42" w14:textId="77777777" w:rsidR="005A4687" w:rsidRDefault="005A4687">
    <w:pPr>
      <w:tabs>
        <w:tab w:val="center" w:pos="4680"/>
        <w:tab w:val="right" w:pos="9360"/>
      </w:tabs>
    </w:pPr>
  </w:p>
  <w:p w14:paraId="53C4A58B" w14:textId="77777777" w:rsidR="005A4687" w:rsidRDefault="00000000">
    <w:pPr>
      <w:tabs>
        <w:tab w:val="center" w:pos="4680"/>
        <w:tab w:val="right" w:pos="9360"/>
      </w:tabs>
      <w:rPr>
        <w:color w:val="000000"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  <w:t>© Vector Solutions</w:t>
    </w:r>
  </w:p>
  <w:p w14:paraId="3A0FB118" w14:textId="77777777" w:rsidR="005A4687" w:rsidRDefault="005A4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605D" w14:textId="77777777" w:rsidR="005A4687" w:rsidRDefault="005A4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3FF59073" w14:textId="77777777" w:rsidR="005A4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© Vector Solutions</w:t>
    </w:r>
  </w:p>
  <w:p w14:paraId="4AB35C40" w14:textId="77777777" w:rsidR="005A4687" w:rsidRDefault="005A4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AD79" w14:textId="77777777" w:rsidR="00F208F1" w:rsidRDefault="00F208F1">
      <w:r>
        <w:separator/>
      </w:r>
    </w:p>
  </w:footnote>
  <w:footnote w:type="continuationSeparator" w:id="0">
    <w:p w14:paraId="3E4EED6A" w14:textId="77777777" w:rsidR="00F208F1" w:rsidRDefault="00F2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CB4D" w14:textId="77777777" w:rsidR="005A4687" w:rsidRDefault="005A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A933" w14:textId="77777777" w:rsidR="005A4687" w:rsidRDefault="005A46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2D7D" w14:textId="77777777" w:rsidR="005A4687" w:rsidRDefault="00000000">
    <w:pPr>
      <w:pBdr>
        <w:top w:val="nil"/>
        <w:left w:val="nil"/>
        <w:bottom w:val="single" w:sz="24" w:space="1" w:color="000000"/>
        <w:right w:val="nil"/>
        <w:between w:val="nil"/>
      </w:pBdr>
      <w:spacing w:after="240" w:line="360" w:lineRule="auto"/>
      <w:rPr>
        <w:color w:val="000000"/>
      </w:rPr>
    </w:pPr>
    <w:r>
      <w:rPr>
        <w:b/>
        <w:color w:val="000000"/>
        <w:sz w:val="32"/>
        <w:szCs w:val="32"/>
      </w:rPr>
      <w:t xml:space="preserve">Course Description Sheet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E7"/>
    <w:multiLevelType w:val="multilevel"/>
    <w:tmpl w:val="307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6191"/>
    <w:multiLevelType w:val="multilevel"/>
    <w:tmpl w:val="9EF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B4740"/>
    <w:multiLevelType w:val="hybridMultilevel"/>
    <w:tmpl w:val="34A0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CBA"/>
    <w:multiLevelType w:val="multilevel"/>
    <w:tmpl w:val="331650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463343A"/>
    <w:multiLevelType w:val="hybridMultilevel"/>
    <w:tmpl w:val="83443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16A5"/>
    <w:multiLevelType w:val="multilevel"/>
    <w:tmpl w:val="DE38B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B45B9F"/>
    <w:multiLevelType w:val="hybridMultilevel"/>
    <w:tmpl w:val="76DC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62F24"/>
    <w:multiLevelType w:val="multilevel"/>
    <w:tmpl w:val="75B05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9A7254"/>
    <w:multiLevelType w:val="hybridMultilevel"/>
    <w:tmpl w:val="8D0E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02219">
    <w:abstractNumId w:val="3"/>
  </w:num>
  <w:num w:numId="2" w16cid:durableId="2058580682">
    <w:abstractNumId w:val="7"/>
  </w:num>
  <w:num w:numId="3" w16cid:durableId="30539999">
    <w:abstractNumId w:val="5"/>
  </w:num>
  <w:num w:numId="4" w16cid:durableId="476149386">
    <w:abstractNumId w:val="0"/>
  </w:num>
  <w:num w:numId="5" w16cid:durableId="1417478649">
    <w:abstractNumId w:val="1"/>
  </w:num>
  <w:num w:numId="6" w16cid:durableId="1383824707">
    <w:abstractNumId w:val="2"/>
  </w:num>
  <w:num w:numId="7" w16cid:durableId="456415222">
    <w:abstractNumId w:val="4"/>
  </w:num>
  <w:num w:numId="8" w16cid:durableId="2101872278">
    <w:abstractNumId w:val="6"/>
  </w:num>
  <w:num w:numId="9" w16cid:durableId="1070348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87"/>
    <w:rsid w:val="001E60F6"/>
    <w:rsid w:val="005A4687"/>
    <w:rsid w:val="00822926"/>
    <w:rsid w:val="00A152E7"/>
    <w:rsid w:val="00B74251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ADA4"/>
  <w15:docId w15:val="{B41F8A74-ACE7-4913-8932-6F2D1ED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822926"/>
  </w:style>
  <w:style w:type="character" w:customStyle="1" w:styleId="normaltextrun">
    <w:name w:val="normaltextrun"/>
    <w:basedOn w:val="DefaultParagraphFont"/>
    <w:rsid w:val="00B74251"/>
  </w:style>
  <w:style w:type="character" w:customStyle="1" w:styleId="eop">
    <w:name w:val="eop"/>
    <w:basedOn w:val="DefaultParagraphFont"/>
    <w:rsid w:val="00B7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4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Stephanie R. Tuton</cp:lastModifiedBy>
  <cp:revision>4</cp:revision>
  <dcterms:created xsi:type="dcterms:W3CDTF">2023-08-09T16:56:00Z</dcterms:created>
  <dcterms:modified xsi:type="dcterms:W3CDTF">2023-08-23T18:31:00Z</dcterms:modified>
</cp:coreProperties>
</file>