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D90B" w14:textId="77777777" w:rsidR="00C830D9" w:rsidRDefault="00C830D9" w:rsidP="00F800D7">
      <w:pPr>
        <w:pStyle w:val="Body"/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</w:pPr>
    </w:p>
    <w:p w14:paraId="2D566D86" w14:textId="77777777" w:rsidR="00C830D9" w:rsidRDefault="00C830D9" w:rsidP="00F800D7">
      <w:pPr>
        <w:pStyle w:val="Body"/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</w:pPr>
    </w:p>
    <w:p w14:paraId="077A120B" w14:textId="67B486B1" w:rsidR="00F800D7" w:rsidRPr="009155D0" w:rsidRDefault="00F800D7" w:rsidP="00C830D9">
      <w:pPr>
        <w:pStyle w:val="Body"/>
        <w:jc w:val="center"/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</w:pPr>
      <w:r w:rsidRPr="008F74EE">
        <w:rPr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3BE5C0F2" wp14:editId="7827E159">
            <wp:simplePos x="0" y="0"/>
            <wp:positionH relativeFrom="margin">
              <wp:posOffset>-6350</wp:posOffset>
            </wp:positionH>
            <wp:positionV relativeFrom="page">
              <wp:posOffset>548640</wp:posOffset>
            </wp:positionV>
            <wp:extent cx="1959969" cy="3576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9969" cy="357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F74EE"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  <w:t xml:space="preserve">Ewing-Foley, Inc. </w:t>
      </w:r>
      <w:r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  <w:t xml:space="preserve">Continuing Education </w:t>
      </w:r>
      <w:r w:rsidRPr="008F74EE"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  <w:t>Trainin</w:t>
      </w:r>
      <w:r w:rsidR="00C830D9"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  <w:t>g</w:t>
      </w:r>
    </w:p>
    <w:p w14:paraId="7112E7F7" w14:textId="7FC8E9A2" w:rsidR="00F800D7" w:rsidRDefault="00F800D7" w:rsidP="00F800D7">
      <w:pPr>
        <w:pStyle w:val="Body"/>
        <w:jc w:val="center"/>
        <w:rPr>
          <w:rFonts w:ascii="Georgia" w:hAnsi="Georgia"/>
          <w:b/>
          <w:bCs/>
          <w:color w:val="0070C0"/>
          <w:u w:color="0070C0"/>
        </w:rPr>
      </w:pPr>
      <w:r>
        <w:rPr>
          <w:rFonts w:ascii="Georgia" w:hAnsi="Georgia"/>
          <w:b/>
          <w:bCs/>
          <w:color w:val="0070C0"/>
          <w:u w:color="0070C0"/>
        </w:rPr>
        <w:t>Electrical Continuing Education, N</w:t>
      </w:r>
      <w:r w:rsidR="00AB186B">
        <w:rPr>
          <w:rFonts w:ascii="Georgia" w:hAnsi="Georgia"/>
          <w:b/>
          <w:bCs/>
          <w:color w:val="0070C0"/>
          <w:u w:color="0070C0"/>
        </w:rPr>
        <w:t>EC Article 250</w:t>
      </w:r>
    </w:p>
    <w:p w14:paraId="7D59E2DE" w14:textId="41168C70" w:rsidR="00F800D7" w:rsidRPr="00BC2EA8" w:rsidRDefault="00F800D7" w:rsidP="00F800D7">
      <w:pPr>
        <w:pStyle w:val="Body"/>
        <w:jc w:val="center"/>
        <w:rPr>
          <w:rFonts w:ascii="Georgia" w:hAnsi="Georgia"/>
          <w:b/>
          <w:bCs/>
          <w:color w:val="0070C0"/>
          <w:u w:color="0070C0"/>
        </w:rPr>
      </w:pPr>
      <w:r>
        <w:rPr>
          <w:rFonts w:ascii="Georgia" w:hAnsi="Georgia"/>
          <w:b/>
          <w:bCs/>
          <w:color w:val="0070C0"/>
          <w:u w:color="0070C0"/>
        </w:rPr>
        <w:t>4-Hour Power point slide presentation</w:t>
      </w:r>
    </w:p>
    <w:p w14:paraId="05175C3B" w14:textId="7C614D77" w:rsidR="00F800D7" w:rsidRDefault="00F800D7" w:rsidP="00F800D7">
      <w:pPr>
        <w:jc w:val="center"/>
        <w:rPr>
          <w:sz w:val="40"/>
          <w:szCs w:val="40"/>
        </w:rPr>
      </w:pPr>
      <w:r>
        <w:rPr>
          <w:rFonts w:ascii="Georgia" w:hAnsi="Georgia"/>
          <w:b/>
          <w:bCs/>
          <w:color w:val="0070C0"/>
          <w:u w:color="0070C0"/>
        </w:rPr>
        <w:t xml:space="preserve">  </w:t>
      </w:r>
      <w:r>
        <w:rPr>
          <w:rFonts w:ascii="Georgia" w:hAnsi="Georgia"/>
          <w:b/>
          <w:bCs/>
          <w:color w:val="0070C0"/>
          <w:u w:color="0070C0"/>
        </w:rPr>
        <w:tab/>
        <w:t xml:space="preserve"> Instructor Ralph Bliquez</w:t>
      </w:r>
    </w:p>
    <w:p w14:paraId="3D9F28C9" w14:textId="6F1FD080" w:rsidR="00375A80" w:rsidRDefault="00A86C87" w:rsidP="0058153E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EF183E">
        <w:rPr>
          <w:sz w:val="40"/>
          <w:szCs w:val="40"/>
        </w:rPr>
        <w:t xml:space="preserve">3 </w:t>
      </w:r>
      <w:r>
        <w:rPr>
          <w:sz w:val="40"/>
          <w:szCs w:val="40"/>
        </w:rPr>
        <w:t>MODEL CODE CHANGES</w:t>
      </w:r>
      <w:r w:rsidR="0058153E">
        <w:rPr>
          <w:sz w:val="40"/>
          <w:szCs w:val="40"/>
        </w:rPr>
        <w:t xml:space="preserve"> </w:t>
      </w:r>
      <w:r w:rsidR="0035719D">
        <w:rPr>
          <w:sz w:val="40"/>
          <w:szCs w:val="40"/>
        </w:rPr>
        <w:t xml:space="preserve">IN </w:t>
      </w:r>
      <w:r w:rsidR="0058153E">
        <w:rPr>
          <w:sz w:val="40"/>
          <w:szCs w:val="40"/>
        </w:rPr>
        <w:t>NEC ARTICLE 250</w:t>
      </w:r>
    </w:p>
    <w:p w14:paraId="3D9F28CA" w14:textId="77777777" w:rsidR="00521AFD" w:rsidRPr="00375A80" w:rsidRDefault="00521AFD" w:rsidP="00375A8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GROUNDING AND BONDING</w:t>
      </w:r>
    </w:p>
    <w:p w14:paraId="3D9F28CB" w14:textId="22C042F0" w:rsidR="00521AFD" w:rsidRDefault="00521AFD" w:rsidP="00521AFD">
      <w:pPr>
        <w:rPr>
          <w:sz w:val="28"/>
          <w:szCs w:val="28"/>
        </w:rPr>
      </w:pPr>
      <w:r>
        <w:rPr>
          <w:sz w:val="28"/>
          <w:szCs w:val="28"/>
        </w:rPr>
        <w:t>Article 250 of the National Electric Code is the most extensive article in the code</w:t>
      </w:r>
      <w:r w:rsidR="00157FDF">
        <w:rPr>
          <w:sz w:val="28"/>
          <w:szCs w:val="28"/>
        </w:rPr>
        <w:t xml:space="preserve"> </w:t>
      </w:r>
      <w:proofErr w:type="gramStart"/>
      <w:r w:rsidR="00157FDF">
        <w:rPr>
          <w:sz w:val="28"/>
          <w:szCs w:val="28"/>
        </w:rPr>
        <w:t>with the possible exception of</w:t>
      </w:r>
      <w:proofErr w:type="gramEnd"/>
      <w:r w:rsidR="00157FDF">
        <w:rPr>
          <w:sz w:val="28"/>
          <w:szCs w:val="28"/>
        </w:rPr>
        <w:t xml:space="preserve"> </w:t>
      </w:r>
      <w:r w:rsidR="00B43B78">
        <w:rPr>
          <w:sz w:val="28"/>
          <w:szCs w:val="28"/>
        </w:rPr>
        <w:t>Article 430, Motors</w:t>
      </w:r>
      <w:r>
        <w:rPr>
          <w:sz w:val="28"/>
          <w:szCs w:val="28"/>
        </w:rPr>
        <w:t xml:space="preserve">. </w:t>
      </w:r>
      <w:r w:rsidR="002A233E">
        <w:rPr>
          <w:sz w:val="28"/>
          <w:szCs w:val="28"/>
        </w:rPr>
        <w:t xml:space="preserve"> </w:t>
      </w:r>
      <w:r>
        <w:rPr>
          <w:sz w:val="28"/>
          <w:szCs w:val="28"/>
        </w:rPr>
        <w:t>The reason</w:t>
      </w:r>
      <w:r w:rsidR="009846F3">
        <w:rPr>
          <w:sz w:val="28"/>
          <w:szCs w:val="28"/>
        </w:rPr>
        <w:t>s</w:t>
      </w:r>
      <w:r>
        <w:rPr>
          <w:sz w:val="28"/>
          <w:szCs w:val="28"/>
        </w:rPr>
        <w:t xml:space="preserve"> for the extensive coverage of groun</w:t>
      </w:r>
      <w:r w:rsidR="009846F3">
        <w:rPr>
          <w:sz w:val="28"/>
          <w:szCs w:val="28"/>
        </w:rPr>
        <w:t>ding and bonding are</w:t>
      </w:r>
      <w:r w:rsidR="002654AC">
        <w:rPr>
          <w:sz w:val="28"/>
          <w:szCs w:val="28"/>
        </w:rPr>
        <w:t xml:space="preserve"> because</w:t>
      </w:r>
      <w:r w:rsidR="001307AD">
        <w:rPr>
          <w:sz w:val="28"/>
          <w:szCs w:val="28"/>
        </w:rPr>
        <w:t xml:space="preserve"> these two practices</w:t>
      </w:r>
      <w:r>
        <w:rPr>
          <w:sz w:val="28"/>
          <w:szCs w:val="28"/>
        </w:rPr>
        <w:t xml:space="preserve"> are responsible for the correct</w:t>
      </w:r>
      <w:r w:rsidR="001307AD">
        <w:rPr>
          <w:sz w:val="28"/>
          <w:szCs w:val="28"/>
        </w:rPr>
        <w:t xml:space="preserve"> operation of all overcurrent protective devices in a building; they bring</w:t>
      </w:r>
      <w:r>
        <w:rPr>
          <w:sz w:val="28"/>
          <w:szCs w:val="28"/>
        </w:rPr>
        <w:t xml:space="preserve"> all metal e</w:t>
      </w:r>
      <w:r w:rsidR="001307AD">
        <w:rPr>
          <w:sz w:val="28"/>
          <w:szCs w:val="28"/>
        </w:rPr>
        <w:t>nclosures to an equal potential</w:t>
      </w:r>
      <w:r w:rsidR="00627318">
        <w:rPr>
          <w:sz w:val="28"/>
          <w:szCs w:val="28"/>
        </w:rPr>
        <w:t>; they</w:t>
      </w:r>
      <w:r w:rsidR="001307AD">
        <w:rPr>
          <w:sz w:val="28"/>
          <w:szCs w:val="28"/>
        </w:rPr>
        <w:t xml:space="preserve"> </w:t>
      </w:r>
      <w:proofErr w:type="gramStart"/>
      <w:r w:rsidR="001307AD">
        <w:rPr>
          <w:sz w:val="28"/>
          <w:szCs w:val="28"/>
        </w:rPr>
        <w:t>insure</w:t>
      </w:r>
      <w:proofErr w:type="gramEnd"/>
      <w:r>
        <w:rPr>
          <w:sz w:val="28"/>
          <w:szCs w:val="28"/>
        </w:rPr>
        <w:t xml:space="preserve"> a safe path for voltage surges caused by lightning or other transients</w:t>
      </w:r>
      <w:r w:rsidR="009D44B4">
        <w:rPr>
          <w:sz w:val="28"/>
          <w:szCs w:val="28"/>
        </w:rPr>
        <w:t xml:space="preserve"> to ground</w:t>
      </w:r>
      <w:r w:rsidR="00627318">
        <w:rPr>
          <w:sz w:val="28"/>
          <w:szCs w:val="28"/>
        </w:rPr>
        <w:t>; and they</w:t>
      </w:r>
      <w:r w:rsidR="001307AD">
        <w:rPr>
          <w:sz w:val="28"/>
          <w:szCs w:val="28"/>
        </w:rPr>
        <w:t xml:space="preserve"> provide a consistent reference for technical equipment that is forced to operate in difficult electrical environments.</w:t>
      </w:r>
    </w:p>
    <w:p w14:paraId="3D9F28CC" w14:textId="10F2D69A" w:rsidR="004D4964" w:rsidRDefault="004D4964" w:rsidP="00521AFD">
      <w:pPr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627318">
        <w:rPr>
          <w:sz w:val="28"/>
          <w:szCs w:val="28"/>
        </w:rPr>
        <w:t>4</w:t>
      </w:r>
      <w:r w:rsidR="0091282D">
        <w:rPr>
          <w:sz w:val="28"/>
          <w:szCs w:val="28"/>
        </w:rPr>
        <w:t xml:space="preserve"> hour </w:t>
      </w:r>
      <w:r>
        <w:rPr>
          <w:sz w:val="28"/>
          <w:szCs w:val="28"/>
        </w:rPr>
        <w:t xml:space="preserve">course will be </w:t>
      </w:r>
      <w:r w:rsidR="002654AC">
        <w:rPr>
          <w:sz w:val="28"/>
          <w:szCs w:val="28"/>
        </w:rPr>
        <w:t>a review of</w:t>
      </w:r>
      <w:r w:rsidR="008B3195">
        <w:rPr>
          <w:sz w:val="28"/>
          <w:szCs w:val="28"/>
        </w:rPr>
        <w:t xml:space="preserve"> Article</w:t>
      </w:r>
      <w:r w:rsidR="002654AC">
        <w:rPr>
          <w:sz w:val="28"/>
          <w:szCs w:val="28"/>
        </w:rPr>
        <w:t xml:space="preserve"> 250</w:t>
      </w:r>
      <w:r w:rsidR="00375A80">
        <w:rPr>
          <w:sz w:val="28"/>
          <w:szCs w:val="28"/>
        </w:rPr>
        <w:t xml:space="preserve"> in the</w:t>
      </w:r>
      <w:r w:rsidR="00F902BB">
        <w:rPr>
          <w:sz w:val="28"/>
          <w:szCs w:val="28"/>
        </w:rPr>
        <w:t xml:space="preserve"> 20</w:t>
      </w:r>
      <w:r w:rsidR="002D1C18">
        <w:rPr>
          <w:sz w:val="28"/>
          <w:szCs w:val="28"/>
        </w:rPr>
        <w:t>2</w:t>
      </w:r>
      <w:r w:rsidR="00F62C0F">
        <w:rPr>
          <w:sz w:val="28"/>
          <w:szCs w:val="28"/>
        </w:rPr>
        <w:t>3</w:t>
      </w:r>
      <w:r w:rsidR="00375A80">
        <w:rPr>
          <w:sz w:val="28"/>
          <w:szCs w:val="28"/>
        </w:rPr>
        <w:t xml:space="preserve"> National Electric Code </w:t>
      </w:r>
      <w:r w:rsidR="008B3195">
        <w:rPr>
          <w:sz w:val="28"/>
          <w:szCs w:val="28"/>
        </w:rPr>
        <w:t xml:space="preserve"> concentrating on </w:t>
      </w:r>
      <w:r w:rsidR="001F6C96">
        <w:rPr>
          <w:sz w:val="28"/>
          <w:szCs w:val="28"/>
        </w:rPr>
        <w:t xml:space="preserve">how bonding and grounding are different and serve different purposes; </w:t>
      </w:r>
      <w:r w:rsidR="0091282D">
        <w:rPr>
          <w:sz w:val="28"/>
          <w:szCs w:val="28"/>
        </w:rPr>
        <w:t xml:space="preserve">how bonding back to the electrical source guarantees the safe operation of overcurrent protective devices; </w:t>
      </w:r>
      <w:r w:rsidR="001F6C96">
        <w:rPr>
          <w:sz w:val="28"/>
          <w:szCs w:val="28"/>
        </w:rPr>
        <w:t>how grounding while in most cases is a necessity</w:t>
      </w:r>
      <w:r w:rsidR="0091282D">
        <w:rPr>
          <w:sz w:val="28"/>
          <w:szCs w:val="28"/>
        </w:rPr>
        <w:t xml:space="preserve"> for the safe dissipation of high voltage surges</w:t>
      </w:r>
      <w:r w:rsidR="001F6C96">
        <w:rPr>
          <w:sz w:val="28"/>
          <w:szCs w:val="28"/>
        </w:rPr>
        <w:t xml:space="preserve"> is not an effective ground-fault current path</w:t>
      </w:r>
      <w:r w:rsidR="0091282D">
        <w:rPr>
          <w:sz w:val="28"/>
          <w:szCs w:val="28"/>
        </w:rPr>
        <w:t xml:space="preserve">; </w:t>
      </w:r>
      <w:r w:rsidR="00594DBB">
        <w:rPr>
          <w:sz w:val="28"/>
          <w:szCs w:val="28"/>
        </w:rPr>
        <w:t xml:space="preserve">how bonding insures correct transmission of telecommunications; </w:t>
      </w:r>
      <w:r w:rsidR="0091282D">
        <w:rPr>
          <w:sz w:val="28"/>
          <w:szCs w:val="28"/>
        </w:rPr>
        <w:t xml:space="preserve">and how different systems of various voltages must comply with the code. </w:t>
      </w:r>
      <w:r w:rsidR="00130A6E">
        <w:rPr>
          <w:sz w:val="28"/>
          <w:szCs w:val="28"/>
        </w:rPr>
        <w:t xml:space="preserve">It is important that both </w:t>
      </w:r>
      <w:r w:rsidR="00DE01E5">
        <w:rPr>
          <w:sz w:val="28"/>
          <w:szCs w:val="28"/>
        </w:rPr>
        <w:t>the NEC and</w:t>
      </w:r>
      <w:r w:rsidR="00130A6E">
        <w:rPr>
          <w:sz w:val="28"/>
          <w:szCs w:val="28"/>
        </w:rPr>
        <w:t xml:space="preserve"> ANSI/TIA</w:t>
      </w:r>
      <w:r w:rsidR="00DE01E5">
        <w:rPr>
          <w:sz w:val="28"/>
          <w:szCs w:val="28"/>
        </w:rPr>
        <w:t xml:space="preserve"> 607</w:t>
      </w:r>
      <w:r w:rsidR="0056490A">
        <w:rPr>
          <w:sz w:val="28"/>
          <w:szCs w:val="28"/>
        </w:rPr>
        <w:t xml:space="preserve">D </w:t>
      </w:r>
      <w:r w:rsidR="00130A6E">
        <w:rPr>
          <w:sz w:val="28"/>
          <w:szCs w:val="28"/>
        </w:rPr>
        <w:t>require the same single building ground for both safety and performance.</w:t>
      </w:r>
    </w:p>
    <w:p w14:paraId="3D9F28CD" w14:textId="6C2A5C5F" w:rsidR="001C57FA" w:rsidRDefault="001C57FA" w:rsidP="00521AFD">
      <w:pPr>
        <w:rPr>
          <w:sz w:val="28"/>
          <w:szCs w:val="28"/>
        </w:rPr>
      </w:pPr>
      <w:r>
        <w:rPr>
          <w:sz w:val="28"/>
          <w:szCs w:val="28"/>
        </w:rPr>
        <w:t xml:space="preserve">One of the most important requirements of Article 250 is under the general requirements for Grounding and Bonding in </w:t>
      </w:r>
      <w:r w:rsidR="004E61AA">
        <w:rPr>
          <w:sz w:val="28"/>
          <w:szCs w:val="28"/>
        </w:rPr>
        <w:t xml:space="preserve">both </w:t>
      </w:r>
      <w:r>
        <w:rPr>
          <w:sz w:val="28"/>
          <w:szCs w:val="28"/>
        </w:rPr>
        <w:t>250.4 (A) (5)</w:t>
      </w:r>
      <w:r w:rsidR="00C2134B">
        <w:rPr>
          <w:sz w:val="28"/>
          <w:szCs w:val="28"/>
        </w:rPr>
        <w:t xml:space="preserve"> and 250.5 </w:t>
      </w:r>
      <w:r w:rsidR="00921844">
        <w:rPr>
          <w:sz w:val="28"/>
          <w:szCs w:val="28"/>
        </w:rPr>
        <w:t>(</w:t>
      </w:r>
      <w:r w:rsidR="00DE7489">
        <w:rPr>
          <w:sz w:val="28"/>
          <w:szCs w:val="28"/>
        </w:rPr>
        <w:t>B) (4)</w:t>
      </w:r>
      <w:r>
        <w:rPr>
          <w:sz w:val="28"/>
          <w:szCs w:val="28"/>
        </w:rPr>
        <w:t xml:space="preserve"> which includes the definition of an Effective Ground-Fault Current Path</w:t>
      </w:r>
      <w:r w:rsidR="009846F3">
        <w:rPr>
          <w:sz w:val="28"/>
          <w:szCs w:val="28"/>
        </w:rPr>
        <w:t xml:space="preserve">. The absolute “shall” is in final line: </w:t>
      </w:r>
      <w:r>
        <w:rPr>
          <w:sz w:val="28"/>
          <w:szCs w:val="28"/>
        </w:rPr>
        <w:t>“</w:t>
      </w:r>
      <w:r w:rsidR="0091282D">
        <w:rPr>
          <w:sz w:val="28"/>
          <w:szCs w:val="28"/>
        </w:rPr>
        <w:t xml:space="preserve">The earth shall </w:t>
      </w:r>
      <w:r w:rsidR="0091282D" w:rsidRPr="0091282D">
        <w:rPr>
          <w:b/>
          <w:sz w:val="28"/>
          <w:szCs w:val="28"/>
        </w:rPr>
        <w:t>NOT</w:t>
      </w:r>
      <w:r>
        <w:rPr>
          <w:sz w:val="28"/>
          <w:szCs w:val="28"/>
        </w:rPr>
        <w:t xml:space="preserve"> be considered as an effective ground-fault current path.”</w:t>
      </w:r>
      <w:r w:rsidR="00A4777F">
        <w:rPr>
          <w:sz w:val="28"/>
          <w:szCs w:val="28"/>
        </w:rPr>
        <w:t xml:space="preserve"> </w:t>
      </w:r>
    </w:p>
    <w:p w14:paraId="3D9F28CE" w14:textId="6BAE7FD4" w:rsidR="00375A80" w:rsidRDefault="009846F3" w:rsidP="00521AFD">
      <w:pPr>
        <w:rPr>
          <w:sz w:val="28"/>
          <w:szCs w:val="28"/>
        </w:rPr>
      </w:pPr>
      <w:r>
        <w:rPr>
          <w:sz w:val="28"/>
          <w:szCs w:val="28"/>
        </w:rPr>
        <w:t>IEEE and Telecommunications Industry</w:t>
      </w:r>
      <w:r w:rsidR="009D44B4">
        <w:rPr>
          <w:sz w:val="28"/>
          <w:szCs w:val="28"/>
        </w:rPr>
        <w:t xml:space="preserve"> (</w:t>
      </w:r>
      <w:r w:rsidR="00375A80">
        <w:rPr>
          <w:sz w:val="28"/>
          <w:szCs w:val="28"/>
        </w:rPr>
        <w:t>ANSI/</w:t>
      </w:r>
      <w:r w:rsidR="009D44B4">
        <w:rPr>
          <w:sz w:val="28"/>
          <w:szCs w:val="28"/>
        </w:rPr>
        <w:t>TIA/EIA 607</w:t>
      </w:r>
      <w:r w:rsidR="00856B8A">
        <w:rPr>
          <w:sz w:val="28"/>
          <w:szCs w:val="28"/>
        </w:rPr>
        <w:t>D</w:t>
      </w:r>
      <w:r w:rsidR="009D44B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AC6520">
        <w:rPr>
          <w:sz w:val="28"/>
          <w:szCs w:val="28"/>
        </w:rPr>
        <w:t xml:space="preserve"> </w:t>
      </w:r>
      <w:r w:rsidR="00777493">
        <w:rPr>
          <w:sz w:val="28"/>
          <w:szCs w:val="28"/>
        </w:rPr>
        <w:t>require</w:t>
      </w:r>
      <w:r w:rsidR="00AC6520">
        <w:rPr>
          <w:sz w:val="28"/>
          <w:szCs w:val="28"/>
        </w:rPr>
        <w:t>s</w:t>
      </w:r>
      <w:r w:rsidR="00777493">
        <w:rPr>
          <w:sz w:val="28"/>
          <w:szCs w:val="28"/>
        </w:rPr>
        <w:t xml:space="preserve"> 5 ohms resistance </w:t>
      </w:r>
      <w:r w:rsidR="00910D26">
        <w:rPr>
          <w:sz w:val="28"/>
          <w:szCs w:val="28"/>
        </w:rPr>
        <w:t>for the Grounding Electrode system</w:t>
      </w:r>
      <w:r w:rsidR="008E549E">
        <w:rPr>
          <w:sz w:val="28"/>
          <w:szCs w:val="28"/>
        </w:rPr>
        <w:t xml:space="preserve"> while</w:t>
      </w:r>
      <w:r>
        <w:rPr>
          <w:sz w:val="28"/>
          <w:szCs w:val="28"/>
        </w:rPr>
        <w:t xml:space="preserve"> Article</w:t>
      </w:r>
      <w:r w:rsidR="004D4964">
        <w:rPr>
          <w:sz w:val="28"/>
          <w:szCs w:val="28"/>
        </w:rPr>
        <w:t xml:space="preserve"> 250.52 (A) </w:t>
      </w:r>
      <w:r w:rsidR="007846EE">
        <w:rPr>
          <w:sz w:val="28"/>
          <w:szCs w:val="28"/>
        </w:rPr>
        <w:t xml:space="preserve">accepts </w:t>
      </w:r>
      <w:r w:rsidR="004D4964">
        <w:rPr>
          <w:sz w:val="28"/>
          <w:szCs w:val="28"/>
        </w:rPr>
        <w:t>“a resistance to earth of 25 ohms”</w:t>
      </w:r>
      <w:r w:rsidR="007846EE">
        <w:rPr>
          <w:sz w:val="28"/>
          <w:szCs w:val="28"/>
        </w:rPr>
        <w:t>.</w:t>
      </w:r>
      <w:r w:rsidR="00774E1F">
        <w:rPr>
          <w:sz w:val="28"/>
          <w:szCs w:val="28"/>
        </w:rPr>
        <w:t xml:space="preserve"> Neither value will open </w:t>
      </w:r>
      <w:r w:rsidR="00BF3DDB">
        <w:rPr>
          <w:sz w:val="28"/>
          <w:szCs w:val="28"/>
        </w:rPr>
        <w:t>most</w:t>
      </w:r>
      <w:r w:rsidR="00774E1F">
        <w:rPr>
          <w:sz w:val="28"/>
          <w:szCs w:val="28"/>
        </w:rPr>
        <w:t xml:space="preserve"> overcurrent protective device.</w:t>
      </w:r>
    </w:p>
    <w:p w14:paraId="3D9F28CF" w14:textId="19DF9E91" w:rsidR="001307AD" w:rsidRDefault="007F35B0" w:rsidP="00C21785">
      <w:pPr>
        <w:spacing w:before="24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COURSE OUTLINE</w:t>
      </w:r>
      <w:r w:rsidR="00ED13A9">
        <w:rPr>
          <w:sz w:val="28"/>
          <w:szCs w:val="28"/>
        </w:rPr>
        <w:t xml:space="preserve"> (Code Changes for 2023 are in </w:t>
      </w:r>
      <w:r w:rsidR="00ED13A9" w:rsidRPr="00C21785">
        <w:rPr>
          <w:color w:val="FF0000"/>
          <w:sz w:val="28"/>
          <w:szCs w:val="28"/>
        </w:rPr>
        <w:t>R</w:t>
      </w:r>
      <w:r w:rsidR="00463D09">
        <w:rPr>
          <w:color w:val="FF0000"/>
          <w:sz w:val="28"/>
          <w:szCs w:val="28"/>
        </w:rPr>
        <w:t>ed)</w:t>
      </w:r>
    </w:p>
    <w:p w14:paraId="32D2E490" w14:textId="2CC5E515" w:rsidR="00DA42DF" w:rsidRPr="001B2B9C" w:rsidRDefault="001B2B9C" w:rsidP="001B2B9C">
      <w:pPr>
        <w:spacing w:before="240"/>
        <w:rPr>
          <w:sz w:val="28"/>
          <w:szCs w:val="28"/>
        </w:rPr>
      </w:pPr>
      <w:r w:rsidRPr="001B2B9C">
        <w:rPr>
          <w:sz w:val="28"/>
          <w:szCs w:val="28"/>
        </w:rPr>
        <w:t xml:space="preserve">Part I: </w:t>
      </w:r>
      <w:proofErr w:type="gramStart"/>
      <w:r w:rsidRPr="001B2B9C">
        <w:rPr>
          <w:sz w:val="28"/>
          <w:szCs w:val="28"/>
        </w:rPr>
        <w:t>General</w:t>
      </w:r>
      <w:r w:rsidR="00DE5745">
        <w:rPr>
          <w:sz w:val="28"/>
          <w:szCs w:val="28"/>
        </w:rPr>
        <w:t xml:space="preserve">  (</w:t>
      </w:r>
      <w:proofErr w:type="gramEnd"/>
      <w:r w:rsidR="00DE5745">
        <w:rPr>
          <w:sz w:val="28"/>
          <w:szCs w:val="28"/>
        </w:rPr>
        <w:t>45 min.)</w:t>
      </w:r>
    </w:p>
    <w:p w14:paraId="3D9F28D0" w14:textId="4D481CBB" w:rsidR="007F35B0" w:rsidRPr="00991A09" w:rsidRDefault="007F35B0" w:rsidP="00991A09">
      <w:pPr>
        <w:ind w:left="360"/>
        <w:rPr>
          <w:sz w:val="28"/>
          <w:szCs w:val="28"/>
        </w:rPr>
      </w:pPr>
      <w:r w:rsidRPr="00991A09">
        <w:rPr>
          <w:sz w:val="28"/>
          <w:szCs w:val="28"/>
        </w:rPr>
        <w:t>S</w:t>
      </w:r>
      <w:r w:rsidR="00130A6E" w:rsidRPr="00991A09">
        <w:rPr>
          <w:sz w:val="28"/>
          <w:szCs w:val="28"/>
        </w:rPr>
        <w:t>cope of the Article (250.1</w:t>
      </w:r>
      <w:r w:rsidR="00B65BD8" w:rsidRPr="00991A09">
        <w:rPr>
          <w:sz w:val="28"/>
          <w:szCs w:val="28"/>
        </w:rPr>
        <w:t>)</w:t>
      </w:r>
      <w:r w:rsidR="00130A6E" w:rsidRPr="00991A09">
        <w:rPr>
          <w:sz w:val="28"/>
          <w:szCs w:val="28"/>
        </w:rPr>
        <w:t xml:space="preserve"> </w:t>
      </w:r>
    </w:p>
    <w:p w14:paraId="3D9F28D6" w14:textId="1A8A4D3A" w:rsidR="007F35B0" w:rsidRPr="00800CBD" w:rsidRDefault="00130A6E" w:rsidP="00A7251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review of the</w:t>
      </w:r>
      <w:r w:rsidR="007F35B0">
        <w:rPr>
          <w:sz w:val="28"/>
          <w:szCs w:val="28"/>
        </w:rPr>
        <w:t xml:space="preserve"> article to show both the reason for the code requirements and the mechanical means to comply.</w:t>
      </w:r>
    </w:p>
    <w:p w14:paraId="3D9F28F2" w14:textId="563DDB0C" w:rsidR="002F7B49" w:rsidRPr="00C552F6" w:rsidRDefault="00A56A74" w:rsidP="00C552F6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C552F6">
        <w:rPr>
          <w:color w:val="FF0000"/>
          <w:sz w:val="28"/>
          <w:szCs w:val="28"/>
        </w:rPr>
        <w:t>Eliminated in 2023</w:t>
      </w:r>
    </w:p>
    <w:p w14:paraId="57C9D816" w14:textId="2186977B" w:rsidR="008139DD" w:rsidRPr="00C552F6" w:rsidRDefault="008139DD" w:rsidP="00C552F6">
      <w:pPr>
        <w:pStyle w:val="ListParagraph"/>
        <w:numPr>
          <w:ilvl w:val="1"/>
          <w:numId w:val="6"/>
        </w:numPr>
        <w:ind w:left="0" w:firstLine="360"/>
        <w:rPr>
          <w:sz w:val="28"/>
          <w:szCs w:val="28"/>
        </w:rPr>
      </w:pPr>
      <w:r w:rsidRPr="00C552F6">
        <w:rPr>
          <w:sz w:val="28"/>
          <w:szCs w:val="28"/>
        </w:rPr>
        <w:t>240.4 General Requirements for Grounding and Bonding</w:t>
      </w:r>
      <w:r w:rsidR="00C96BA6">
        <w:rPr>
          <w:sz w:val="28"/>
          <w:szCs w:val="28"/>
        </w:rPr>
        <w:t xml:space="preserve"> </w:t>
      </w:r>
    </w:p>
    <w:p w14:paraId="3D9F28F3" w14:textId="16DC6590" w:rsidR="009C69FA" w:rsidRPr="00C552F6" w:rsidRDefault="00494773" w:rsidP="00C552F6">
      <w:pPr>
        <w:ind w:firstLine="360"/>
        <w:rPr>
          <w:color w:val="FF0000"/>
          <w:sz w:val="28"/>
          <w:szCs w:val="28"/>
        </w:rPr>
      </w:pPr>
      <w:r w:rsidRPr="00C552F6">
        <w:rPr>
          <w:color w:val="FF0000"/>
          <w:sz w:val="28"/>
          <w:szCs w:val="28"/>
        </w:rPr>
        <w:t xml:space="preserve">New 250.6 (A) </w:t>
      </w:r>
      <w:r w:rsidR="009C69FA" w:rsidRPr="00C552F6">
        <w:rPr>
          <w:color w:val="FF0000"/>
          <w:sz w:val="28"/>
          <w:szCs w:val="28"/>
        </w:rPr>
        <w:t xml:space="preserve">Objectionable Current </w:t>
      </w:r>
      <w:r w:rsidR="009701F8" w:rsidRPr="00C552F6">
        <w:rPr>
          <w:color w:val="FF0000"/>
          <w:sz w:val="28"/>
          <w:szCs w:val="28"/>
        </w:rPr>
        <w:t>shall be prevented</w:t>
      </w:r>
      <w:r w:rsidR="005968D4" w:rsidRPr="00C552F6">
        <w:rPr>
          <w:color w:val="FF0000"/>
          <w:sz w:val="28"/>
          <w:szCs w:val="28"/>
        </w:rPr>
        <w:t xml:space="preserve"> but</w:t>
      </w:r>
      <w:r w:rsidR="00574B3E" w:rsidRPr="00C552F6">
        <w:rPr>
          <w:color w:val="FF0000"/>
          <w:sz w:val="28"/>
          <w:szCs w:val="28"/>
        </w:rPr>
        <w:t xml:space="preserve"> </w:t>
      </w:r>
      <w:r w:rsidR="00774666" w:rsidRPr="00C552F6">
        <w:rPr>
          <w:color w:val="FF0000"/>
          <w:sz w:val="28"/>
          <w:szCs w:val="28"/>
        </w:rPr>
        <w:t xml:space="preserve">see (C) </w:t>
      </w:r>
    </w:p>
    <w:p w14:paraId="7B5CBBF6" w14:textId="77777777" w:rsidR="006C49B8" w:rsidRPr="00C552F6" w:rsidRDefault="005968D4" w:rsidP="00C552F6">
      <w:pPr>
        <w:ind w:left="360"/>
        <w:rPr>
          <w:color w:val="FF0000"/>
          <w:sz w:val="28"/>
          <w:szCs w:val="28"/>
        </w:rPr>
      </w:pPr>
      <w:r w:rsidRPr="00C552F6">
        <w:rPr>
          <w:color w:val="FF0000"/>
          <w:sz w:val="28"/>
          <w:szCs w:val="28"/>
        </w:rPr>
        <w:t>New 250.6 (C)</w:t>
      </w:r>
      <w:r w:rsidR="00262F36" w:rsidRPr="00C552F6">
        <w:rPr>
          <w:color w:val="FF0000"/>
          <w:sz w:val="28"/>
          <w:szCs w:val="28"/>
        </w:rPr>
        <w:t xml:space="preserve"> Currents from ground faults and </w:t>
      </w:r>
      <w:r w:rsidR="00B27BF5" w:rsidRPr="00C552F6">
        <w:rPr>
          <w:color w:val="FF0000"/>
          <w:sz w:val="28"/>
          <w:szCs w:val="28"/>
        </w:rPr>
        <w:t>“functional grounding” connections shall not be considered Objectional.</w:t>
      </w:r>
    </w:p>
    <w:p w14:paraId="3D9F28F5" w14:textId="220B5EDD" w:rsidR="009C69FA" w:rsidRPr="003215A8" w:rsidRDefault="007B4141" w:rsidP="00DC4BAE">
      <w:pPr>
        <w:ind w:firstLine="720"/>
        <w:rPr>
          <w:color w:val="FF0000"/>
          <w:sz w:val="28"/>
          <w:szCs w:val="28"/>
        </w:rPr>
      </w:pPr>
      <w:r w:rsidRPr="003215A8">
        <w:rPr>
          <w:sz w:val="28"/>
          <w:szCs w:val="28"/>
        </w:rPr>
        <w:t>250.8—12</w:t>
      </w:r>
      <w:r w:rsidR="00C96BA6" w:rsidRPr="003215A8">
        <w:rPr>
          <w:sz w:val="28"/>
          <w:szCs w:val="28"/>
        </w:rPr>
        <w:t xml:space="preserve">) </w:t>
      </w:r>
      <w:r w:rsidR="00C96BA6">
        <w:rPr>
          <w:sz w:val="28"/>
          <w:szCs w:val="28"/>
        </w:rPr>
        <w:t>Connection</w:t>
      </w:r>
      <w:r w:rsidR="003215A8">
        <w:rPr>
          <w:sz w:val="28"/>
          <w:szCs w:val="28"/>
        </w:rPr>
        <w:t xml:space="preserve"> Methods</w:t>
      </w:r>
      <w:r w:rsidR="00C96BA6">
        <w:rPr>
          <w:sz w:val="28"/>
          <w:szCs w:val="28"/>
        </w:rPr>
        <w:t xml:space="preserve">  </w:t>
      </w:r>
    </w:p>
    <w:p w14:paraId="3D9F28F8" w14:textId="4C4F80EB" w:rsidR="005C43ED" w:rsidRDefault="009C69FA" w:rsidP="000A0DC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Mechanical Devices with samples</w:t>
      </w:r>
    </w:p>
    <w:p w14:paraId="21118586" w14:textId="77777777" w:rsidR="00692802" w:rsidRPr="000A0DC0" w:rsidRDefault="00692802" w:rsidP="00692802">
      <w:pPr>
        <w:pStyle w:val="ListParagraph"/>
        <w:ind w:left="1440"/>
        <w:rPr>
          <w:sz w:val="28"/>
          <w:szCs w:val="28"/>
        </w:rPr>
      </w:pPr>
    </w:p>
    <w:p w14:paraId="3D9F28F9" w14:textId="0EE93AF7" w:rsidR="009C69FA" w:rsidRPr="001B2B9C" w:rsidRDefault="00692802" w:rsidP="001B2B9C">
      <w:pPr>
        <w:rPr>
          <w:sz w:val="28"/>
          <w:szCs w:val="28"/>
        </w:rPr>
      </w:pPr>
      <w:r w:rsidRPr="001B2B9C">
        <w:rPr>
          <w:sz w:val="28"/>
          <w:szCs w:val="28"/>
        </w:rPr>
        <w:t>Part II</w:t>
      </w:r>
      <w:r w:rsidR="00B17EEA">
        <w:rPr>
          <w:sz w:val="28"/>
          <w:szCs w:val="28"/>
        </w:rPr>
        <w:t>:</w:t>
      </w:r>
      <w:r w:rsidRPr="001B2B9C">
        <w:rPr>
          <w:sz w:val="28"/>
          <w:szCs w:val="28"/>
        </w:rPr>
        <w:t xml:space="preserve"> </w:t>
      </w:r>
      <w:r w:rsidR="00627318" w:rsidRPr="001B2B9C">
        <w:rPr>
          <w:sz w:val="28"/>
          <w:szCs w:val="28"/>
        </w:rPr>
        <w:t xml:space="preserve">System Grounding </w:t>
      </w:r>
      <w:r w:rsidR="00DE5745">
        <w:rPr>
          <w:sz w:val="28"/>
          <w:szCs w:val="28"/>
        </w:rPr>
        <w:t>(40 min.)</w:t>
      </w:r>
    </w:p>
    <w:p w14:paraId="3D9F28FB" w14:textId="3D19B3C0" w:rsidR="003E6DC6" w:rsidRDefault="00523792" w:rsidP="00DC4BAE">
      <w:pPr>
        <w:ind w:firstLine="720"/>
        <w:rPr>
          <w:sz w:val="28"/>
          <w:szCs w:val="28"/>
        </w:rPr>
      </w:pPr>
      <w:r>
        <w:rPr>
          <w:sz w:val="28"/>
          <w:szCs w:val="28"/>
        </w:rPr>
        <w:t>250.20 AC Systems</w:t>
      </w:r>
      <w:r w:rsidR="00117C00">
        <w:rPr>
          <w:sz w:val="28"/>
          <w:szCs w:val="28"/>
        </w:rPr>
        <w:t xml:space="preserve"> to be </w:t>
      </w:r>
      <w:proofErr w:type="gramStart"/>
      <w:r w:rsidR="00117C00">
        <w:rPr>
          <w:sz w:val="28"/>
          <w:szCs w:val="28"/>
        </w:rPr>
        <w:t>Grounded</w:t>
      </w:r>
      <w:proofErr w:type="gramEnd"/>
      <w:r w:rsidR="00C96BA6">
        <w:rPr>
          <w:sz w:val="28"/>
          <w:szCs w:val="28"/>
        </w:rPr>
        <w:t xml:space="preserve">  </w:t>
      </w:r>
    </w:p>
    <w:p w14:paraId="1C7A7765" w14:textId="7CCB6C6C" w:rsidR="004156CA" w:rsidRDefault="004156CA" w:rsidP="0052379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250.21 AC Systems Not Required to be </w:t>
      </w:r>
      <w:proofErr w:type="gramStart"/>
      <w:r>
        <w:rPr>
          <w:sz w:val="28"/>
          <w:szCs w:val="28"/>
        </w:rPr>
        <w:t>Grounded</w:t>
      </w:r>
      <w:proofErr w:type="gramEnd"/>
      <w:r w:rsidR="00C96BA6">
        <w:rPr>
          <w:sz w:val="28"/>
          <w:szCs w:val="28"/>
        </w:rPr>
        <w:t xml:space="preserve"> </w:t>
      </w:r>
    </w:p>
    <w:p w14:paraId="40A3382D" w14:textId="2158D8E1" w:rsidR="00A955C0" w:rsidRPr="00523792" w:rsidRDefault="00A955C0" w:rsidP="0052379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250.22 </w:t>
      </w:r>
      <w:r w:rsidRPr="00A955C0">
        <w:rPr>
          <w:color w:val="FF0000"/>
          <w:sz w:val="28"/>
          <w:szCs w:val="28"/>
        </w:rPr>
        <w:t>Eliminated in 2023</w:t>
      </w:r>
    </w:p>
    <w:p w14:paraId="1E65D44E" w14:textId="6666EE78" w:rsidR="008F7688" w:rsidRDefault="0055657A" w:rsidP="0055657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250.</w:t>
      </w:r>
      <w:r w:rsidR="00F93170">
        <w:rPr>
          <w:color w:val="000000" w:themeColor="text1"/>
          <w:sz w:val="28"/>
          <w:szCs w:val="28"/>
        </w:rPr>
        <w:t>24 Grounding of Service Supplied Systems</w:t>
      </w:r>
    </w:p>
    <w:p w14:paraId="0A310745" w14:textId="114AD97C" w:rsidR="003B5D4D" w:rsidRDefault="00D30D54" w:rsidP="0055657A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A37829">
        <w:rPr>
          <w:color w:val="FF0000"/>
          <w:sz w:val="28"/>
          <w:szCs w:val="28"/>
        </w:rPr>
        <w:t xml:space="preserve">(A) (5) is eliminated </w:t>
      </w:r>
      <w:r w:rsidR="00616009" w:rsidRPr="00A37829">
        <w:rPr>
          <w:color w:val="FF0000"/>
          <w:sz w:val="28"/>
          <w:szCs w:val="28"/>
        </w:rPr>
        <w:t>and Section (B) is new</w:t>
      </w:r>
      <w:r w:rsidR="00A37829" w:rsidRPr="00A37829">
        <w:rPr>
          <w:color w:val="FF0000"/>
          <w:sz w:val="28"/>
          <w:szCs w:val="28"/>
        </w:rPr>
        <w:t xml:space="preserve"> and replaces (A) (5).</w:t>
      </w:r>
    </w:p>
    <w:p w14:paraId="78D679D8" w14:textId="03FCF278" w:rsidR="00D37935" w:rsidRDefault="00D37935" w:rsidP="0055657A">
      <w:pPr>
        <w:rPr>
          <w:sz w:val="28"/>
          <w:szCs w:val="28"/>
        </w:rPr>
      </w:pPr>
      <w:r w:rsidRPr="00D37935">
        <w:rPr>
          <w:sz w:val="28"/>
          <w:szCs w:val="28"/>
        </w:rPr>
        <w:tab/>
        <w:t xml:space="preserve">250.26 Conductor to be </w:t>
      </w:r>
      <w:proofErr w:type="gramStart"/>
      <w:r w:rsidRPr="00D37935">
        <w:rPr>
          <w:sz w:val="28"/>
          <w:szCs w:val="28"/>
        </w:rPr>
        <w:t>Grounded</w:t>
      </w:r>
      <w:proofErr w:type="gramEnd"/>
      <w:r w:rsidR="00C96BA6">
        <w:rPr>
          <w:sz w:val="28"/>
          <w:szCs w:val="28"/>
        </w:rPr>
        <w:t xml:space="preserve">  </w:t>
      </w:r>
    </w:p>
    <w:p w14:paraId="59CAF0F5" w14:textId="4AA79E27" w:rsidR="003B5D4D" w:rsidRDefault="003B5D4D" w:rsidP="005565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250.28 </w:t>
      </w:r>
      <w:r w:rsidR="004A426B">
        <w:rPr>
          <w:sz w:val="28"/>
          <w:szCs w:val="28"/>
        </w:rPr>
        <w:t xml:space="preserve">Main </w:t>
      </w:r>
      <w:r>
        <w:rPr>
          <w:sz w:val="28"/>
          <w:szCs w:val="28"/>
        </w:rPr>
        <w:t>Bonding Jumper</w:t>
      </w:r>
      <w:r w:rsidR="00C96BA6">
        <w:rPr>
          <w:sz w:val="28"/>
          <w:szCs w:val="28"/>
        </w:rPr>
        <w:t xml:space="preserve"> </w:t>
      </w:r>
    </w:p>
    <w:p w14:paraId="1BE42322" w14:textId="36C82E03" w:rsidR="009042EB" w:rsidRDefault="009042EB" w:rsidP="0055657A">
      <w:pPr>
        <w:rPr>
          <w:sz w:val="28"/>
          <w:szCs w:val="28"/>
        </w:rPr>
      </w:pPr>
      <w:r>
        <w:rPr>
          <w:sz w:val="28"/>
          <w:szCs w:val="28"/>
        </w:rPr>
        <w:tab/>
        <w:t>250.30 Grounding Separately Derived Systems</w:t>
      </w:r>
      <w:r w:rsidR="00C96BA6">
        <w:rPr>
          <w:sz w:val="28"/>
          <w:szCs w:val="28"/>
        </w:rPr>
        <w:t xml:space="preserve"> </w:t>
      </w:r>
    </w:p>
    <w:p w14:paraId="2DDD1A09" w14:textId="5F21A8CD" w:rsidR="004A426B" w:rsidRDefault="004A426B" w:rsidP="005565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System Bonding Jumper</w:t>
      </w:r>
    </w:p>
    <w:p w14:paraId="29559B4A" w14:textId="6EF29919" w:rsidR="009708C7" w:rsidRDefault="009708C7" w:rsidP="005565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Supply Side Bonding Jumper</w:t>
      </w:r>
    </w:p>
    <w:p w14:paraId="6BE84D63" w14:textId="181187DD" w:rsidR="009708C7" w:rsidRDefault="009708C7" w:rsidP="005565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Grounding Electrode Conductor</w:t>
      </w:r>
    </w:p>
    <w:p w14:paraId="7395F4CF" w14:textId="3D2F9615" w:rsidR="00E5518B" w:rsidRDefault="00E5518B" w:rsidP="0055657A">
      <w:pPr>
        <w:rPr>
          <w:sz w:val="28"/>
          <w:szCs w:val="28"/>
        </w:rPr>
      </w:pPr>
      <w:r>
        <w:rPr>
          <w:sz w:val="28"/>
          <w:szCs w:val="28"/>
        </w:rPr>
        <w:tab/>
        <w:t>250.32 Buildings Supplied by a Feeder</w:t>
      </w:r>
      <w:r w:rsidR="00D56DF2">
        <w:rPr>
          <w:sz w:val="28"/>
          <w:szCs w:val="28"/>
        </w:rPr>
        <w:t xml:space="preserve"> or Branch Circuit</w:t>
      </w:r>
    </w:p>
    <w:p w14:paraId="659D69C3" w14:textId="074A39AE" w:rsidR="00D56DF2" w:rsidRDefault="00D56DF2" w:rsidP="0055657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910CC8">
        <w:rPr>
          <w:sz w:val="28"/>
          <w:szCs w:val="28"/>
        </w:rPr>
        <w:t>250.34  Portable</w:t>
      </w:r>
      <w:proofErr w:type="gramEnd"/>
      <w:r w:rsidR="00910CC8">
        <w:rPr>
          <w:sz w:val="28"/>
          <w:szCs w:val="28"/>
        </w:rPr>
        <w:t>/Vehicle Mounted Generators</w:t>
      </w:r>
    </w:p>
    <w:p w14:paraId="45937744" w14:textId="4553483D" w:rsidR="00110DBF" w:rsidRDefault="00110DBF" w:rsidP="0055657A">
      <w:pPr>
        <w:rPr>
          <w:sz w:val="28"/>
          <w:szCs w:val="28"/>
        </w:rPr>
      </w:pPr>
    </w:p>
    <w:p w14:paraId="27073284" w14:textId="22628A7C" w:rsidR="00110DBF" w:rsidRDefault="001D0B6A" w:rsidP="0055657A">
      <w:pPr>
        <w:rPr>
          <w:sz w:val="28"/>
          <w:szCs w:val="28"/>
        </w:rPr>
      </w:pPr>
      <w:r>
        <w:rPr>
          <w:sz w:val="28"/>
          <w:szCs w:val="28"/>
        </w:rPr>
        <w:t xml:space="preserve">Part III:  Grounding Electrode Systems and </w:t>
      </w:r>
      <w:proofErr w:type="gramStart"/>
      <w:r>
        <w:rPr>
          <w:sz w:val="28"/>
          <w:szCs w:val="28"/>
        </w:rPr>
        <w:t>Conductor</w:t>
      </w:r>
      <w:r w:rsidR="00DE5745">
        <w:rPr>
          <w:sz w:val="28"/>
          <w:szCs w:val="28"/>
        </w:rPr>
        <w:t xml:space="preserve">  (</w:t>
      </w:r>
      <w:proofErr w:type="gramEnd"/>
      <w:r w:rsidR="00DE5745">
        <w:rPr>
          <w:sz w:val="28"/>
          <w:szCs w:val="28"/>
        </w:rPr>
        <w:t>45 min.)</w:t>
      </w:r>
    </w:p>
    <w:p w14:paraId="36681D59" w14:textId="326F2072" w:rsidR="001D0B6A" w:rsidRDefault="001D0B6A" w:rsidP="0055657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91A7C">
        <w:rPr>
          <w:sz w:val="28"/>
          <w:szCs w:val="28"/>
        </w:rPr>
        <w:t>250.50 System Description</w:t>
      </w:r>
    </w:p>
    <w:p w14:paraId="6C3C7CDB" w14:textId="661BBCCC" w:rsidR="00891A7C" w:rsidRDefault="00891A7C" w:rsidP="0055657A">
      <w:pPr>
        <w:rPr>
          <w:sz w:val="28"/>
          <w:szCs w:val="28"/>
        </w:rPr>
      </w:pPr>
      <w:r>
        <w:rPr>
          <w:sz w:val="28"/>
          <w:szCs w:val="28"/>
        </w:rPr>
        <w:tab/>
        <w:t>250.52 Electrodes Permitted</w:t>
      </w:r>
    </w:p>
    <w:p w14:paraId="5126DC4A" w14:textId="475A2C16" w:rsidR="00891A7C" w:rsidRDefault="00260E17" w:rsidP="005565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(B) </w:t>
      </w:r>
      <w:r w:rsidR="00F34546">
        <w:rPr>
          <w:sz w:val="28"/>
          <w:szCs w:val="28"/>
        </w:rPr>
        <w:t>Not permitted</w:t>
      </w:r>
    </w:p>
    <w:p w14:paraId="1109DF4C" w14:textId="46EC40A2" w:rsidR="0082396E" w:rsidRDefault="00F34546" w:rsidP="00E57D58">
      <w:pPr>
        <w:shd w:val="clear" w:color="auto" w:fill="FFFFFF"/>
        <w:spacing w:before="100" w:beforeAutospacing="1" w:after="75" w:line="240" w:lineRule="auto"/>
        <w:ind w:firstLine="720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sz w:val="28"/>
          <w:szCs w:val="28"/>
        </w:rPr>
        <w:t>250.</w:t>
      </w:r>
      <w:r w:rsidR="000D0F01">
        <w:rPr>
          <w:sz w:val="28"/>
          <w:szCs w:val="28"/>
        </w:rPr>
        <w:t>5</w:t>
      </w:r>
      <w:r>
        <w:rPr>
          <w:sz w:val="28"/>
          <w:szCs w:val="28"/>
        </w:rPr>
        <w:t>3 System Installation</w:t>
      </w:r>
      <w:r w:rsidR="0008658A" w:rsidRPr="0008658A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</w:p>
    <w:p w14:paraId="43725CA4" w14:textId="6F43A47A" w:rsidR="0008658A" w:rsidRPr="001C03EE" w:rsidRDefault="0008658A" w:rsidP="0082396E">
      <w:pPr>
        <w:shd w:val="clear" w:color="auto" w:fill="FFFFFF"/>
        <w:spacing w:before="100" w:beforeAutospacing="1" w:after="75" w:line="240" w:lineRule="auto"/>
        <w:ind w:left="1440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I</w:t>
      </w:r>
      <w:r w:rsidRPr="001C03EE">
        <w:rPr>
          <w:rFonts w:ascii="Arial" w:eastAsia="Times New Roman" w:hAnsi="Arial" w:cs="Arial"/>
          <w:color w:val="444444"/>
          <w:sz w:val="21"/>
          <w:szCs w:val="21"/>
        </w:rPr>
        <w:t>f practicable, pipe electrodes must be embedded below the permanent moisture level and be free from nonconductive coatings (e.g., paint or enamel) [250.53(A)(1)].</w:t>
      </w:r>
    </w:p>
    <w:p w14:paraId="1558C856" w14:textId="77777777" w:rsidR="0008658A" w:rsidRPr="001C03EE" w:rsidRDefault="0008658A" w:rsidP="0008658A">
      <w:pPr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1C03EE">
        <w:rPr>
          <w:rFonts w:ascii="Arial" w:eastAsia="Times New Roman" w:hAnsi="Arial" w:cs="Arial"/>
          <w:color w:val="444444"/>
          <w:sz w:val="21"/>
          <w:szCs w:val="21"/>
        </w:rPr>
        <w:t>A rod electrode must be supplemented by an additional electrode that’s bonded to the service disconnect or one of the other four items listed in 250.53(A)(2).</w:t>
      </w:r>
    </w:p>
    <w:p w14:paraId="0A0A4D08" w14:textId="77777777" w:rsidR="0008658A" w:rsidRPr="001C03EE" w:rsidRDefault="0008658A" w:rsidP="0008658A">
      <w:pPr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1C03EE">
        <w:rPr>
          <w:rFonts w:ascii="Arial" w:eastAsia="Times New Roman" w:hAnsi="Arial" w:cs="Arial"/>
          <w:color w:val="444444"/>
          <w:sz w:val="21"/>
          <w:szCs w:val="21"/>
        </w:rPr>
        <w:t>The supplemental electrode for a rod electrode must be installed at least 6 ft from the rod electrode [250.53(A)(3)].</w:t>
      </w:r>
    </w:p>
    <w:p w14:paraId="4839F1D0" w14:textId="77777777" w:rsidR="0008658A" w:rsidRPr="001C03EE" w:rsidRDefault="0008658A" w:rsidP="0008658A">
      <w:pPr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1C03EE">
        <w:rPr>
          <w:rFonts w:ascii="Arial" w:eastAsia="Times New Roman" w:hAnsi="Arial" w:cs="Arial"/>
          <w:color w:val="444444"/>
          <w:sz w:val="21"/>
          <w:szCs w:val="21"/>
        </w:rPr>
        <w:t>Electrodes for premises systems must be at least 6 ft from lightning protection system grounding electrodes [250.53(B)].</w:t>
      </w:r>
    </w:p>
    <w:p w14:paraId="71FEA475" w14:textId="77777777" w:rsidR="0008658A" w:rsidRPr="001C03EE" w:rsidRDefault="0008658A" w:rsidP="0008658A">
      <w:pPr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1C03EE">
        <w:rPr>
          <w:rFonts w:ascii="Arial" w:eastAsia="Times New Roman" w:hAnsi="Arial" w:cs="Arial"/>
          <w:color w:val="444444"/>
          <w:sz w:val="21"/>
          <w:szCs w:val="21"/>
        </w:rPr>
        <w:t>Two or more grounding electrodes bonded together are considered a single grounding electrode system.</w:t>
      </w:r>
    </w:p>
    <w:p w14:paraId="50F80BEC" w14:textId="77777777" w:rsidR="0008658A" w:rsidRPr="001C03EE" w:rsidRDefault="0008658A" w:rsidP="0008658A">
      <w:pPr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1C03EE">
        <w:rPr>
          <w:rFonts w:ascii="Arial" w:eastAsia="Times New Roman" w:hAnsi="Arial" w:cs="Arial"/>
          <w:color w:val="444444"/>
          <w:sz w:val="21"/>
          <w:szCs w:val="21"/>
        </w:rPr>
        <w:t>The bonding connection for the interior metal water piping system, as required by 250.104(A), can’t depend on equipment likely to be disconnected for repairs or replacement. Install a bonding jumper around insulated joints and equipment likely to be disconnected for repairs or replacement [250.53(D)].</w:t>
      </w:r>
    </w:p>
    <w:p w14:paraId="56EE3A78" w14:textId="77777777" w:rsidR="0008658A" w:rsidRPr="001C03EE" w:rsidRDefault="0008658A" w:rsidP="0008658A">
      <w:pPr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1C03EE">
        <w:rPr>
          <w:rFonts w:ascii="Arial" w:eastAsia="Times New Roman" w:hAnsi="Arial" w:cs="Arial"/>
          <w:color w:val="444444"/>
          <w:sz w:val="21"/>
          <w:szCs w:val="21"/>
        </w:rPr>
        <w:t>When an underground metal water pipe grounding electrode is present, it must be used as part of the grounding electrode system [250.52(A)(1)].</w:t>
      </w:r>
    </w:p>
    <w:p w14:paraId="0C45F05A" w14:textId="77777777" w:rsidR="0008658A" w:rsidRDefault="0008658A" w:rsidP="0008658A">
      <w:pPr>
        <w:numPr>
          <w:ilvl w:val="1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1C03EE">
        <w:rPr>
          <w:rFonts w:ascii="Arial" w:eastAsia="Times New Roman" w:hAnsi="Arial" w:cs="Arial"/>
          <w:color w:val="444444"/>
          <w:sz w:val="21"/>
          <w:szCs w:val="21"/>
        </w:rPr>
        <w:t>Rod electrodes must be installed with at least 8 ft of length in contact with the soil. If rock bottom is encountered, the rod must be driven at an angle not to exceed 45 degrees from vertical [250.53(G)].</w:t>
      </w:r>
    </w:p>
    <w:p w14:paraId="695A226E" w14:textId="72226F9B" w:rsidR="00F34546" w:rsidRDefault="0008658A" w:rsidP="0082396E">
      <w:pPr>
        <w:ind w:left="720" w:firstLine="720"/>
        <w:rPr>
          <w:sz w:val="28"/>
          <w:szCs w:val="28"/>
        </w:rPr>
      </w:pPr>
      <w:r w:rsidRPr="004F758A">
        <w:rPr>
          <w:rFonts w:ascii="Arial" w:eastAsia="Times New Roman" w:hAnsi="Arial" w:cs="Arial"/>
          <w:sz w:val="21"/>
          <w:szCs w:val="21"/>
        </w:rPr>
        <w:t>Rebar shall not be used as a conductor to interconnect the GEC system.</w:t>
      </w:r>
    </w:p>
    <w:p w14:paraId="4498B736" w14:textId="77777777" w:rsidR="0008658A" w:rsidRDefault="0008658A" w:rsidP="0055657A">
      <w:pPr>
        <w:rPr>
          <w:sz w:val="28"/>
          <w:szCs w:val="28"/>
        </w:rPr>
      </w:pPr>
    </w:p>
    <w:p w14:paraId="6886BC41" w14:textId="416C92C7" w:rsidR="00F34546" w:rsidRDefault="00F34546" w:rsidP="0055657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A1F38">
        <w:rPr>
          <w:sz w:val="28"/>
          <w:szCs w:val="28"/>
        </w:rPr>
        <w:t>250.5</w:t>
      </w:r>
      <w:r w:rsidR="000D0F01">
        <w:rPr>
          <w:sz w:val="28"/>
          <w:szCs w:val="28"/>
        </w:rPr>
        <w:t>8-</w:t>
      </w:r>
      <w:r w:rsidR="0008658A">
        <w:rPr>
          <w:sz w:val="28"/>
          <w:szCs w:val="28"/>
        </w:rPr>
        <w:t>62 Auxiliary</w:t>
      </w:r>
      <w:r w:rsidR="002543C0">
        <w:rPr>
          <w:sz w:val="28"/>
          <w:szCs w:val="28"/>
        </w:rPr>
        <w:t xml:space="preserve"> Electrodes and Materials</w:t>
      </w:r>
    </w:p>
    <w:p w14:paraId="748229D7" w14:textId="4845DFA0" w:rsidR="002543C0" w:rsidRDefault="002543C0" w:rsidP="0055657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A505F">
        <w:rPr>
          <w:sz w:val="28"/>
          <w:szCs w:val="28"/>
        </w:rPr>
        <w:t>250.64 Grounding Conductor Installation</w:t>
      </w:r>
    </w:p>
    <w:p w14:paraId="3BA0DCF5" w14:textId="5B48AE86" w:rsidR="00BA505F" w:rsidRDefault="00BA505F" w:rsidP="0055657A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250C16">
        <w:rPr>
          <w:sz w:val="28"/>
          <w:szCs w:val="28"/>
        </w:rPr>
        <w:tab/>
      </w:r>
      <w:r w:rsidR="00250C16" w:rsidRPr="00AE05B2">
        <w:rPr>
          <w:color w:val="FF0000"/>
          <w:sz w:val="28"/>
          <w:szCs w:val="28"/>
        </w:rPr>
        <w:t xml:space="preserve">(G) is a new requirement </w:t>
      </w:r>
      <w:r w:rsidR="00314AE6" w:rsidRPr="00AE05B2">
        <w:rPr>
          <w:color w:val="FF0000"/>
          <w:sz w:val="28"/>
          <w:szCs w:val="28"/>
        </w:rPr>
        <w:t>not allowing conductor through ventilation openings</w:t>
      </w:r>
    </w:p>
    <w:p w14:paraId="0E5C30BC" w14:textId="4D52E04D" w:rsidR="00AE05B2" w:rsidRDefault="00AE05B2" w:rsidP="0055657A">
      <w:pPr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8D60F3">
        <w:rPr>
          <w:sz w:val="28"/>
          <w:szCs w:val="28"/>
        </w:rPr>
        <w:t xml:space="preserve">250.66 </w:t>
      </w:r>
      <w:r w:rsidR="008D60F3" w:rsidRPr="008D60F3">
        <w:rPr>
          <w:sz w:val="28"/>
          <w:szCs w:val="28"/>
        </w:rPr>
        <w:t>Size of AC Grounding Electrode Conductor</w:t>
      </w:r>
    </w:p>
    <w:p w14:paraId="7F73BA11" w14:textId="1A8CF6E6" w:rsidR="00681DDD" w:rsidRDefault="00681DDD" w:rsidP="0055657A">
      <w:pPr>
        <w:rPr>
          <w:sz w:val="28"/>
          <w:szCs w:val="28"/>
        </w:rPr>
      </w:pPr>
      <w:r>
        <w:rPr>
          <w:sz w:val="28"/>
          <w:szCs w:val="28"/>
        </w:rPr>
        <w:tab/>
        <w:t>250.68</w:t>
      </w:r>
      <w:r w:rsidR="004F5C95">
        <w:rPr>
          <w:sz w:val="28"/>
          <w:szCs w:val="28"/>
        </w:rPr>
        <w:t>-70</w:t>
      </w:r>
      <w:r>
        <w:rPr>
          <w:sz w:val="28"/>
          <w:szCs w:val="28"/>
        </w:rPr>
        <w:t xml:space="preserve"> </w:t>
      </w:r>
      <w:r w:rsidR="00CF1F2B">
        <w:rPr>
          <w:sz w:val="28"/>
          <w:szCs w:val="28"/>
        </w:rPr>
        <w:t>GEC Conductor and Bonding to Electrode</w:t>
      </w:r>
    </w:p>
    <w:p w14:paraId="2CE897DE" w14:textId="77777777" w:rsidR="00CD1685" w:rsidRDefault="00CD1685" w:rsidP="0055657A">
      <w:pPr>
        <w:rPr>
          <w:sz w:val="28"/>
          <w:szCs w:val="28"/>
        </w:rPr>
      </w:pPr>
    </w:p>
    <w:p w14:paraId="6B2C64CC" w14:textId="77777777" w:rsidR="00D75D84" w:rsidRDefault="00D75D84" w:rsidP="0055657A">
      <w:pPr>
        <w:rPr>
          <w:sz w:val="28"/>
          <w:szCs w:val="28"/>
        </w:rPr>
      </w:pPr>
    </w:p>
    <w:p w14:paraId="4A3E7C74" w14:textId="36619BD7" w:rsidR="004F5C95" w:rsidRDefault="004F5C95" w:rsidP="005565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Par</w:t>
      </w:r>
      <w:r w:rsidR="00684E09">
        <w:rPr>
          <w:sz w:val="28"/>
          <w:szCs w:val="28"/>
        </w:rPr>
        <w:t>t</w:t>
      </w:r>
      <w:r>
        <w:rPr>
          <w:sz w:val="28"/>
          <w:szCs w:val="28"/>
        </w:rPr>
        <w:t xml:space="preserve"> IV:</w:t>
      </w:r>
      <w:r w:rsidR="00D75D84">
        <w:rPr>
          <w:sz w:val="28"/>
          <w:szCs w:val="28"/>
        </w:rPr>
        <w:t xml:space="preserve"> Enclosure, Raceway and Service Cable Connections</w:t>
      </w:r>
      <w:r w:rsidR="00DE5745">
        <w:rPr>
          <w:sz w:val="28"/>
          <w:szCs w:val="28"/>
        </w:rPr>
        <w:t xml:space="preserve"> (15 min.)</w:t>
      </w:r>
    </w:p>
    <w:p w14:paraId="168D738B" w14:textId="18924DA3" w:rsidR="00CF1F2B" w:rsidRDefault="00AF5AD1" w:rsidP="0055657A">
      <w:pPr>
        <w:rPr>
          <w:sz w:val="28"/>
          <w:szCs w:val="28"/>
        </w:rPr>
      </w:pPr>
      <w:r w:rsidRPr="00684E09">
        <w:rPr>
          <w:sz w:val="28"/>
          <w:szCs w:val="28"/>
        </w:rPr>
        <w:tab/>
        <w:t>250.80-</w:t>
      </w:r>
      <w:r w:rsidR="00684E09" w:rsidRPr="00684E09">
        <w:rPr>
          <w:sz w:val="28"/>
          <w:szCs w:val="28"/>
        </w:rPr>
        <w:t xml:space="preserve">86 </w:t>
      </w:r>
      <w:proofErr w:type="gramStart"/>
      <w:r w:rsidR="00684E09" w:rsidRPr="00684E09">
        <w:rPr>
          <w:sz w:val="28"/>
          <w:szCs w:val="28"/>
        </w:rPr>
        <w:t>Insuring</w:t>
      </w:r>
      <w:proofErr w:type="gramEnd"/>
      <w:r w:rsidR="00684E09" w:rsidRPr="00684E09">
        <w:rPr>
          <w:sz w:val="28"/>
          <w:szCs w:val="28"/>
        </w:rPr>
        <w:t xml:space="preserve"> all metal parts are connected to the Grounding Electrode</w:t>
      </w:r>
    </w:p>
    <w:p w14:paraId="3FB91EF0" w14:textId="03A9EAA9" w:rsidR="0095026C" w:rsidRPr="007F07AC" w:rsidRDefault="0095026C" w:rsidP="0055657A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7F07AC" w:rsidRPr="007F07AC">
        <w:rPr>
          <w:color w:val="FF0000"/>
          <w:sz w:val="28"/>
          <w:szCs w:val="28"/>
        </w:rPr>
        <w:t>250.84 (A) &amp; (B) Text deletions and revisions</w:t>
      </w:r>
    </w:p>
    <w:p w14:paraId="7ABBF5B5" w14:textId="4C7E5236" w:rsidR="00581C5D" w:rsidRDefault="00581C5D" w:rsidP="0055657A">
      <w:pPr>
        <w:rPr>
          <w:color w:val="FF0000"/>
          <w:sz w:val="28"/>
          <w:szCs w:val="28"/>
        </w:rPr>
      </w:pPr>
    </w:p>
    <w:p w14:paraId="2524CF17" w14:textId="6E71BADA" w:rsidR="00684E09" w:rsidRPr="00956E1F" w:rsidRDefault="00684E09" w:rsidP="0055657A">
      <w:pPr>
        <w:rPr>
          <w:sz w:val="28"/>
          <w:szCs w:val="28"/>
        </w:rPr>
      </w:pPr>
      <w:r w:rsidRPr="00956E1F">
        <w:rPr>
          <w:sz w:val="28"/>
          <w:szCs w:val="28"/>
        </w:rPr>
        <w:t>Part V: Bonding</w:t>
      </w:r>
      <w:r w:rsidR="00DE5745">
        <w:rPr>
          <w:sz w:val="28"/>
          <w:szCs w:val="28"/>
        </w:rPr>
        <w:t xml:space="preserve"> (40 min.)</w:t>
      </w:r>
    </w:p>
    <w:p w14:paraId="3D9F291A" w14:textId="30028CDE" w:rsidR="00A17466" w:rsidRDefault="00627318" w:rsidP="001263D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250.90—98</w:t>
      </w:r>
      <w:r w:rsidR="00956E1F">
        <w:rPr>
          <w:sz w:val="28"/>
          <w:szCs w:val="28"/>
        </w:rPr>
        <w:t xml:space="preserve"> </w:t>
      </w:r>
      <w:r w:rsidR="000472D4">
        <w:rPr>
          <w:sz w:val="28"/>
          <w:szCs w:val="28"/>
        </w:rPr>
        <w:t xml:space="preserve">Bonding of Service, </w:t>
      </w:r>
      <w:proofErr w:type="gramStart"/>
      <w:r w:rsidR="000472D4">
        <w:rPr>
          <w:sz w:val="28"/>
          <w:szCs w:val="28"/>
        </w:rPr>
        <w:t>Communication</w:t>
      </w:r>
      <w:proofErr w:type="gramEnd"/>
      <w:r w:rsidR="00B52867">
        <w:rPr>
          <w:sz w:val="28"/>
          <w:szCs w:val="28"/>
        </w:rPr>
        <w:t xml:space="preserve"> and other Enclosures</w:t>
      </w:r>
      <w:r w:rsidR="00C96BA6">
        <w:rPr>
          <w:sz w:val="28"/>
          <w:szCs w:val="28"/>
        </w:rPr>
        <w:t xml:space="preserve"> </w:t>
      </w:r>
    </w:p>
    <w:p w14:paraId="3D9F291B" w14:textId="35415D33" w:rsidR="00A17466" w:rsidRDefault="00A17466" w:rsidP="00B52867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28008B">
        <w:rPr>
          <w:sz w:val="28"/>
          <w:szCs w:val="28"/>
        </w:rPr>
        <w:t>electrically</w:t>
      </w:r>
      <w:r>
        <w:rPr>
          <w:sz w:val="28"/>
          <w:szCs w:val="28"/>
        </w:rPr>
        <w:t xml:space="preserve"> conductive components</w:t>
      </w:r>
    </w:p>
    <w:p w14:paraId="3D9F291C" w14:textId="6DB95D35" w:rsidR="00A17466" w:rsidRDefault="00A17466" w:rsidP="00B52867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Clarify again distinction to Grounding</w:t>
      </w:r>
      <w:r w:rsidR="00EF08E9">
        <w:rPr>
          <w:sz w:val="28"/>
          <w:szCs w:val="28"/>
        </w:rPr>
        <w:t>.</w:t>
      </w:r>
    </w:p>
    <w:p w14:paraId="7B39B236" w14:textId="77777777" w:rsidR="00B52867" w:rsidRDefault="00B52867" w:rsidP="00B52867">
      <w:pPr>
        <w:pStyle w:val="ListParagraph"/>
        <w:ind w:left="1440"/>
        <w:rPr>
          <w:sz w:val="28"/>
          <w:szCs w:val="28"/>
        </w:rPr>
      </w:pPr>
    </w:p>
    <w:p w14:paraId="209099BE" w14:textId="026CBBDC" w:rsidR="00FF0892" w:rsidRPr="0032068E" w:rsidRDefault="00FF0892" w:rsidP="00B52867">
      <w:pPr>
        <w:pStyle w:val="ListParagraph"/>
        <w:rPr>
          <w:sz w:val="28"/>
          <w:szCs w:val="28"/>
        </w:rPr>
      </w:pPr>
      <w:proofErr w:type="gramStart"/>
      <w:r w:rsidRPr="0032068E">
        <w:rPr>
          <w:sz w:val="28"/>
          <w:szCs w:val="28"/>
        </w:rPr>
        <w:t>250.100</w:t>
      </w:r>
      <w:r w:rsidR="00F176C6" w:rsidRPr="0032068E">
        <w:rPr>
          <w:sz w:val="28"/>
          <w:szCs w:val="28"/>
        </w:rPr>
        <w:t xml:space="preserve"> </w:t>
      </w:r>
      <w:r w:rsidR="00E64D9D" w:rsidRPr="0032068E">
        <w:rPr>
          <w:sz w:val="28"/>
          <w:szCs w:val="28"/>
        </w:rPr>
        <w:t xml:space="preserve"> Hazardous</w:t>
      </w:r>
      <w:proofErr w:type="gramEnd"/>
      <w:r w:rsidR="00E64D9D" w:rsidRPr="0032068E">
        <w:rPr>
          <w:sz w:val="28"/>
          <w:szCs w:val="28"/>
        </w:rPr>
        <w:t xml:space="preserve"> Locations</w:t>
      </w:r>
      <w:r w:rsidR="00C96BA6">
        <w:rPr>
          <w:sz w:val="28"/>
          <w:szCs w:val="28"/>
        </w:rPr>
        <w:t xml:space="preserve">  </w:t>
      </w:r>
    </w:p>
    <w:p w14:paraId="4B5A9E29" w14:textId="5C85F318" w:rsidR="00A75119" w:rsidRPr="006B0922" w:rsidRDefault="00E15A22" w:rsidP="0032068E">
      <w:pPr>
        <w:pStyle w:val="ListParagraph"/>
        <w:ind w:left="1440"/>
        <w:rPr>
          <w:color w:val="FF0000"/>
          <w:sz w:val="28"/>
          <w:szCs w:val="28"/>
        </w:rPr>
      </w:pPr>
      <w:r w:rsidRPr="006B0922">
        <w:rPr>
          <w:color w:val="FF0000"/>
          <w:sz w:val="28"/>
          <w:szCs w:val="28"/>
        </w:rPr>
        <w:t xml:space="preserve">New: </w:t>
      </w:r>
      <w:r w:rsidR="00031602" w:rsidRPr="006B0922">
        <w:rPr>
          <w:color w:val="FF0000"/>
          <w:sz w:val="28"/>
          <w:szCs w:val="28"/>
        </w:rPr>
        <w:t xml:space="preserve">Requires </w:t>
      </w:r>
      <w:r w:rsidR="00F90D89" w:rsidRPr="006B0922">
        <w:rPr>
          <w:color w:val="FF0000"/>
          <w:sz w:val="28"/>
          <w:szCs w:val="28"/>
        </w:rPr>
        <w:t xml:space="preserve">the methods in 250.92 (B) </w:t>
      </w:r>
      <w:r w:rsidR="00547292" w:rsidRPr="006B0922">
        <w:rPr>
          <w:color w:val="FF0000"/>
          <w:sz w:val="28"/>
          <w:szCs w:val="28"/>
        </w:rPr>
        <w:t>(</w:t>
      </w:r>
      <w:r w:rsidR="00F90D89" w:rsidRPr="006B0922">
        <w:rPr>
          <w:color w:val="FF0000"/>
          <w:sz w:val="28"/>
          <w:szCs w:val="28"/>
        </w:rPr>
        <w:t>2</w:t>
      </w:r>
      <w:r w:rsidR="00547292" w:rsidRPr="006B0922">
        <w:rPr>
          <w:color w:val="FF0000"/>
          <w:sz w:val="28"/>
          <w:szCs w:val="28"/>
        </w:rPr>
        <w:t>)</w:t>
      </w:r>
      <w:r w:rsidR="005E70CD" w:rsidRPr="006B0922">
        <w:rPr>
          <w:color w:val="FF0000"/>
          <w:sz w:val="28"/>
          <w:szCs w:val="28"/>
        </w:rPr>
        <w:t>-</w:t>
      </w:r>
      <w:r w:rsidR="00BA1722" w:rsidRPr="006B0922">
        <w:rPr>
          <w:color w:val="FF0000"/>
          <w:sz w:val="28"/>
          <w:szCs w:val="28"/>
        </w:rPr>
        <w:t>(</w:t>
      </w:r>
      <w:r w:rsidR="005E70CD" w:rsidRPr="006B0922">
        <w:rPr>
          <w:color w:val="FF0000"/>
          <w:sz w:val="28"/>
          <w:szCs w:val="28"/>
        </w:rPr>
        <w:t>4</w:t>
      </w:r>
      <w:r w:rsidR="00BA1722" w:rsidRPr="006B0922">
        <w:rPr>
          <w:color w:val="FF0000"/>
          <w:sz w:val="28"/>
          <w:szCs w:val="28"/>
        </w:rPr>
        <w:t>)</w:t>
      </w:r>
      <w:r w:rsidR="005E70CD" w:rsidRPr="006B0922">
        <w:rPr>
          <w:color w:val="FF0000"/>
          <w:sz w:val="28"/>
          <w:szCs w:val="28"/>
        </w:rPr>
        <w:t xml:space="preserve"> whether or not an EGC of the wire type is installed</w:t>
      </w:r>
      <w:r w:rsidR="00547292" w:rsidRPr="006B0922">
        <w:rPr>
          <w:color w:val="FF0000"/>
          <w:sz w:val="28"/>
          <w:szCs w:val="28"/>
        </w:rPr>
        <w:t>.</w:t>
      </w:r>
    </w:p>
    <w:p w14:paraId="72047BB8" w14:textId="1F9BDF8C" w:rsidR="008A05E2" w:rsidRPr="006B0922" w:rsidRDefault="006B0922" w:rsidP="0032068E">
      <w:pPr>
        <w:pStyle w:val="ListParagraph"/>
        <w:ind w:left="1440"/>
        <w:rPr>
          <w:color w:val="FF0000"/>
          <w:sz w:val="28"/>
          <w:szCs w:val="28"/>
        </w:rPr>
      </w:pPr>
      <w:r w:rsidRPr="006B0922">
        <w:rPr>
          <w:color w:val="FF0000"/>
          <w:sz w:val="28"/>
          <w:szCs w:val="28"/>
        </w:rPr>
        <w:t xml:space="preserve">New Informational Note: </w:t>
      </w:r>
      <w:r w:rsidR="00547C05" w:rsidRPr="006B0922">
        <w:rPr>
          <w:color w:val="FF0000"/>
          <w:sz w:val="28"/>
          <w:szCs w:val="28"/>
        </w:rPr>
        <w:t>The requirements in 501.30, 502.30 and 503.30</w:t>
      </w:r>
      <w:r w:rsidR="006C7C7C" w:rsidRPr="006B0922">
        <w:rPr>
          <w:color w:val="FF0000"/>
          <w:sz w:val="28"/>
          <w:szCs w:val="28"/>
        </w:rPr>
        <w:t xml:space="preserve"> for (A) Grounding and (B) Bonding</w:t>
      </w:r>
      <w:r w:rsidR="000F2FF5" w:rsidRPr="006B0922">
        <w:rPr>
          <w:color w:val="FF0000"/>
          <w:sz w:val="28"/>
          <w:szCs w:val="28"/>
        </w:rPr>
        <w:t xml:space="preserve"> from the hazardous loca</w:t>
      </w:r>
      <w:r w:rsidR="002D644C" w:rsidRPr="006B0922">
        <w:rPr>
          <w:color w:val="FF0000"/>
          <w:sz w:val="28"/>
          <w:szCs w:val="28"/>
        </w:rPr>
        <w:t xml:space="preserve">tion back to the </w:t>
      </w:r>
      <w:r w:rsidR="00047644" w:rsidRPr="006B0922">
        <w:rPr>
          <w:color w:val="FF0000"/>
          <w:sz w:val="28"/>
          <w:szCs w:val="28"/>
        </w:rPr>
        <w:t>main disconnect or separately derived system</w:t>
      </w:r>
      <w:r w:rsidR="002F0C27" w:rsidRPr="006B0922">
        <w:rPr>
          <w:color w:val="FF0000"/>
          <w:sz w:val="28"/>
          <w:szCs w:val="28"/>
        </w:rPr>
        <w:t>.</w:t>
      </w:r>
    </w:p>
    <w:p w14:paraId="3D9F291D" w14:textId="7DDA8CC8" w:rsidR="00A17466" w:rsidRDefault="00627318" w:rsidP="00CE23C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250-102—106)</w:t>
      </w:r>
      <w:r w:rsidR="00783A0D">
        <w:rPr>
          <w:sz w:val="28"/>
          <w:szCs w:val="28"/>
        </w:rPr>
        <w:t xml:space="preserve"> </w:t>
      </w:r>
      <w:r w:rsidR="005C5AD1">
        <w:rPr>
          <w:sz w:val="28"/>
          <w:szCs w:val="28"/>
        </w:rPr>
        <w:t>Bonding Conductors and Jumpers</w:t>
      </w:r>
      <w:r w:rsidR="00C96BA6">
        <w:rPr>
          <w:sz w:val="28"/>
          <w:szCs w:val="28"/>
        </w:rPr>
        <w:t xml:space="preserve"> </w:t>
      </w:r>
    </w:p>
    <w:p w14:paraId="3D9F291E" w14:textId="79D1723E" w:rsidR="00A17466" w:rsidRDefault="00F97C6A" w:rsidP="005C5A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Bonding Conductors</w:t>
      </w:r>
      <w:r w:rsidR="00324374">
        <w:rPr>
          <w:sz w:val="28"/>
          <w:szCs w:val="28"/>
        </w:rPr>
        <w:t xml:space="preserve"> or jumpers shall be sized</w:t>
      </w:r>
      <w:r w:rsidR="006966FC">
        <w:rPr>
          <w:sz w:val="28"/>
          <w:szCs w:val="28"/>
        </w:rPr>
        <w:t xml:space="preserve"> to table 250-102</w:t>
      </w:r>
      <w:r w:rsidR="00622E82">
        <w:rPr>
          <w:sz w:val="28"/>
          <w:szCs w:val="28"/>
        </w:rPr>
        <w:t xml:space="preserve"> (C)</w:t>
      </w:r>
      <w:r w:rsidR="0093713A">
        <w:rPr>
          <w:sz w:val="28"/>
          <w:szCs w:val="28"/>
        </w:rPr>
        <w:t xml:space="preserve"> 1 except that it shall not be required to be larger than 3/0 copper or 250 </w:t>
      </w:r>
      <w:proofErr w:type="spellStart"/>
      <w:r w:rsidR="0093713A">
        <w:rPr>
          <w:sz w:val="28"/>
          <w:szCs w:val="28"/>
        </w:rPr>
        <w:t>kcm</w:t>
      </w:r>
      <w:proofErr w:type="spellEnd"/>
      <w:r w:rsidR="0028008B">
        <w:rPr>
          <w:sz w:val="28"/>
          <w:szCs w:val="28"/>
        </w:rPr>
        <w:t xml:space="preserve"> aluminum or copper</w:t>
      </w:r>
      <w:r w:rsidR="00923C85" w:rsidRPr="00923C85">
        <w:rPr>
          <w:sz w:val="28"/>
          <w:szCs w:val="28"/>
        </w:rPr>
        <w:t xml:space="preserve"> </w:t>
      </w:r>
      <w:r w:rsidR="0028008B">
        <w:rPr>
          <w:sz w:val="28"/>
          <w:szCs w:val="28"/>
        </w:rPr>
        <w:t xml:space="preserve">-clad </w:t>
      </w:r>
      <w:proofErr w:type="gramStart"/>
      <w:r w:rsidR="0028008B">
        <w:rPr>
          <w:sz w:val="28"/>
          <w:szCs w:val="28"/>
        </w:rPr>
        <w:t>aluminum</w:t>
      </w:r>
      <w:proofErr w:type="gramEnd"/>
      <w:r w:rsidR="00923C85" w:rsidRPr="00923C85">
        <w:rPr>
          <w:sz w:val="28"/>
          <w:szCs w:val="28"/>
        </w:rPr>
        <w:t xml:space="preserve"> </w:t>
      </w:r>
    </w:p>
    <w:p w14:paraId="7318BFBD" w14:textId="1496F52D" w:rsidR="00E83F10" w:rsidRPr="00BD4EF9" w:rsidRDefault="00195266" w:rsidP="00BD4EF9">
      <w:pPr>
        <w:ind w:left="720"/>
        <w:rPr>
          <w:color w:val="FF0000"/>
          <w:sz w:val="28"/>
          <w:szCs w:val="28"/>
        </w:rPr>
      </w:pPr>
      <w:r w:rsidRPr="00BD4EF9">
        <w:rPr>
          <w:color w:val="FF0000"/>
          <w:sz w:val="28"/>
          <w:szCs w:val="28"/>
        </w:rPr>
        <w:t>250.102 (C) (2)</w:t>
      </w:r>
      <w:r w:rsidR="00AD16F0" w:rsidRPr="00BD4EF9">
        <w:rPr>
          <w:color w:val="FF0000"/>
          <w:sz w:val="28"/>
          <w:szCs w:val="28"/>
        </w:rPr>
        <w:t xml:space="preserve"> Revisions on Size for Parallel Conductors</w:t>
      </w:r>
      <w:r w:rsidR="00BD4EF9" w:rsidRPr="00BD4EF9">
        <w:rPr>
          <w:color w:val="FF0000"/>
          <w:sz w:val="28"/>
          <w:szCs w:val="28"/>
        </w:rPr>
        <w:t xml:space="preserve"> in 2 or more Raceways or Cables</w:t>
      </w:r>
      <w:r w:rsidR="00C96BA6" w:rsidRPr="00C96BA6">
        <w:rPr>
          <w:sz w:val="28"/>
          <w:szCs w:val="28"/>
        </w:rPr>
        <w:t xml:space="preserve"> (</w:t>
      </w:r>
    </w:p>
    <w:p w14:paraId="24781D79" w14:textId="29CC98E2" w:rsidR="00B77A68" w:rsidRDefault="00B77A68" w:rsidP="005C5AD1">
      <w:pPr>
        <w:pStyle w:val="ListParagraph"/>
        <w:ind w:left="1440"/>
        <w:rPr>
          <w:sz w:val="28"/>
          <w:szCs w:val="28"/>
        </w:rPr>
      </w:pPr>
    </w:p>
    <w:p w14:paraId="2911E561" w14:textId="5D9FD71E" w:rsidR="00222808" w:rsidRPr="00222808" w:rsidRDefault="00222808" w:rsidP="00222808">
      <w:pPr>
        <w:rPr>
          <w:sz w:val="28"/>
          <w:szCs w:val="28"/>
        </w:rPr>
      </w:pPr>
      <w:r>
        <w:rPr>
          <w:sz w:val="28"/>
          <w:szCs w:val="28"/>
        </w:rPr>
        <w:t>Part VI: Equipment Grounding and EGCs</w:t>
      </w:r>
      <w:r w:rsidR="00C96BA6">
        <w:rPr>
          <w:sz w:val="28"/>
          <w:szCs w:val="28"/>
        </w:rPr>
        <w:t xml:space="preserve"> </w:t>
      </w:r>
      <w:r w:rsidR="00DE5745">
        <w:rPr>
          <w:sz w:val="28"/>
          <w:szCs w:val="28"/>
        </w:rPr>
        <w:t>(30 min.)</w:t>
      </w:r>
    </w:p>
    <w:p w14:paraId="267CEA0C" w14:textId="4A91C580" w:rsidR="000E60A9" w:rsidRPr="00CE23CC" w:rsidRDefault="00A17466" w:rsidP="005C5AD1">
      <w:pPr>
        <w:pStyle w:val="ListParagraph"/>
        <w:rPr>
          <w:sz w:val="28"/>
          <w:szCs w:val="28"/>
        </w:rPr>
      </w:pPr>
      <w:r w:rsidRPr="00CE23CC">
        <w:rPr>
          <w:sz w:val="28"/>
          <w:szCs w:val="28"/>
        </w:rPr>
        <w:t xml:space="preserve"> 250-</w:t>
      </w:r>
      <w:r w:rsidR="00AB6FE4">
        <w:rPr>
          <w:sz w:val="28"/>
          <w:szCs w:val="28"/>
        </w:rPr>
        <w:t>-</w:t>
      </w:r>
      <w:r w:rsidRPr="00CE23CC">
        <w:rPr>
          <w:sz w:val="28"/>
          <w:szCs w:val="28"/>
        </w:rPr>
        <w:t>1</w:t>
      </w:r>
      <w:r w:rsidR="008F764F" w:rsidRPr="00CE23CC">
        <w:rPr>
          <w:sz w:val="28"/>
          <w:szCs w:val="28"/>
        </w:rPr>
        <w:t>09</w:t>
      </w:r>
      <w:r w:rsidR="005C43ED" w:rsidRPr="00CE23CC">
        <w:rPr>
          <w:sz w:val="28"/>
          <w:szCs w:val="28"/>
        </w:rPr>
        <w:t xml:space="preserve"> </w:t>
      </w:r>
      <w:r w:rsidR="00923C85" w:rsidRPr="00CE23CC">
        <w:rPr>
          <w:sz w:val="28"/>
          <w:szCs w:val="28"/>
        </w:rPr>
        <w:t>Metal Enclosures as the Fault Current Path</w:t>
      </w:r>
      <w:r w:rsidR="00C96BA6">
        <w:rPr>
          <w:sz w:val="28"/>
          <w:szCs w:val="28"/>
        </w:rPr>
        <w:t xml:space="preserve"> </w:t>
      </w:r>
    </w:p>
    <w:p w14:paraId="3D9F291F" w14:textId="7B2878A3" w:rsidR="00A17466" w:rsidRPr="001C7F2C" w:rsidRDefault="000E60A9" w:rsidP="00AB6FE4">
      <w:pPr>
        <w:pStyle w:val="ListParagraph"/>
        <w:ind w:left="1440"/>
        <w:rPr>
          <w:color w:val="FF0000"/>
          <w:sz w:val="28"/>
          <w:szCs w:val="28"/>
        </w:rPr>
      </w:pPr>
      <w:r w:rsidRPr="00CE23CC">
        <w:rPr>
          <w:sz w:val="28"/>
          <w:szCs w:val="28"/>
        </w:rPr>
        <w:t>Metal enclosures shall be permitted to be use</w:t>
      </w:r>
      <w:r w:rsidR="003C4044" w:rsidRPr="00CE23CC">
        <w:rPr>
          <w:sz w:val="28"/>
          <w:szCs w:val="28"/>
        </w:rPr>
        <w:t>d</w:t>
      </w:r>
      <w:r w:rsidR="00923031" w:rsidRPr="00CE23CC">
        <w:rPr>
          <w:sz w:val="28"/>
          <w:szCs w:val="28"/>
        </w:rPr>
        <w:t xml:space="preserve"> as the fault current path </w:t>
      </w:r>
      <w:proofErr w:type="gramStart"/>
      <w:r w:rsidR="00923031" w:rsidRPr="00CE23CC">
        <w:rPr>
          <w:sz w:val="28"/>
          <w:szCs w:val="28"/>
        </w:rPr>
        <w:t xml:space="preserve">and </w:t>
      </w:r>
      <w:r w:rsidR="003C4044" w:rsidRPr="00CE23CC">
        <w:rPr>
          <w:sz w:val="28"/>
          <w:szCs w:val="28"/>
        </w:rPr>
        <w:t xml:space="preserve"> to</w:t>
      </w:r>
      <w:proofErr w:type="gramEnd"/>
      <w:r w:rsidR="003C4044" w:rsidRPr="00CE23CC">
        <w:rPr>
          <w:sz w:val="28"/>
          <w:szCs w:val="28"/>
        </w:rPr>
        <w:t xml:space="preserve"> connect </w:t>
      </w:r>
      <w:r w:rsidR="00891581" w:rsidRPr="00CE23CC">
        <w:rPr>
          <w:sz w:val="28"/>
          <w:szCs w:val="28"/>
        </w:rPr>
        <w:t>bonding jumpers or EGCs</w:t>
      </w:r>
      <w:r w:rsidR="00B80C46" w:rsidRPr="00CE23CC">
        <w:rPr>
          <w:sz w:val="28"/>
          <w:szCs w:val="28"/>
        </w:rPr>
        <w:t xml:space="preserve">. Metal covers shall be considered to </w:t>
      </w:r>
      <w:r w:rsidR="00342409" w:rsidRPr="00CE23CC">
        <w:rPr>
          <w:sz w:val="28"/>
          <w:szCs w:val="28"/>
        </w:rPr>
        <w:t>being connected as well.</w:t>
      </w:r>
      <w:r w:rsidR="005C43ED" w:rsidRPr="00CE23CC">
        <w:rPr>
          <w:sz w:val="28"/>
          <w:szCs w:val="28"/>
        </w:rPr>
        <w:t xml:space="preserve">  </w:t>
      </w:r>
      <w:r w:rsidR="008E1EF6" w:rsidRPr="001C7F2C">
        <w:rPr>
          <w:color w:val="FF0000"/>
          <w:sz w:val="28"/>
          <w:szCs w:val="28"/>
        </w:rPr>
        <w:t>New: Extensive revisions in 250.109</w:t>
      </w:r>
    </w:p>
    <w:p w14:paraId="3D9F2920" w14:textId="6900B4B8" w:rsidR="000C4BF2" w:rsidRDefault="00B20BF2" w:rsidP="004E223F">
      <w:pPr>
        <w:pStyle w:val="ListParagraph"/>
        <w:ind w:left="1440"/>
        <w:rPr>
          <w:sz w:val="28"/>
          <w:szCs w:val="28"/>
        </w:rPr>
      </w:pPr>
      <w:r w:rsidRPr="00CE23CC">
        <w:rPr>
          <w:sz w:val="28"/>
          <w:szCs w:val="28"/>
        </w:rPr>
        <w:t>Informational Note on 250.97</w:t>
      </w:r>
      <w:r w:rsidR="00B04599" w:rsidRPr="00CE23CC">
        <w:rPr>
          <w:sz w:val="28"/>
          <w:szCs w:val="28"/>
        </w:rPr>
        <w:t>, concentric, eccentric knockouts in circuits over 250 Volts to ground</w:t>
      </w:r>
    </w:p>
    <w:p w14:paraId="5B21DDE8" w14:textId="77777777" w:rsidR="0073285B" w:rsidRPr="00CE23CC" w:rsidRDefault="0073285B" w:rsidP="004E223F">
      <w:pPr>
        <w:pStyle w:val="ListParagraph"/>
        <w:ind w:left="1440"/>
        <w:rPr>
          <w:sz w:val="28"/>
          <w:szCs w:val="28"/>
        </w:rPr>
      </w:pPr>
    </w:p>
    <w:p w14:paraId="326AA2BC" w14:textId="23356DA1" w:rsidR="00262B52" w:rsidRDefault="0073285B" w:rsidP="004E223F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250.114</w:t>
      </w:r>
      <w:r w:rsidR="00857523">
        <w:rPr>
          <w:color w:val="FF0000"/>
          <w:sz w:val="28"/>
          <w:szCs w:val="28"/>
        </w:rPr>
        <w:t xml:space="preserve"> </w:t>
      </w:r>
      <w:r w:rsidR="00262B52">
        <w:rPr>
          <w:color w:val="FF0000"/>
          <w:sz w:val="28"/>
          <w:szCs w:val="28"/>
        </w:rPr>
        <w:t>New</w:t>
      </w:r>
      <w:r w:rsidR="007A751B">
        <w:rPr>
          <w:color w:val="FF0000"/>
          <w:sz w:val="28"/>
          <w:szCs w:val="28"/>
        </w:rPr>
        <w:t>:</w:t>
      </w:r>
      <w:r w:rsidR="00262B52">
        <w:rPr>
          <w:color w:val="FF0000"/>
          <w:sz w:val="28"/>
          <w:szCs w:val="28"/>
        </w:rPr>
        <w:t xml:space="preserve"> </w:t>
      </w:r>
      <w:r w:rsidR="0035294C">
        <w:rPr>
          <w:color w:val="FF0000"/>
          <w:sz w:val="28"/>
          <w:szCs w:val="28"/>
        </w:rPr>
        <w:t>Ice Makers must be connected to the GEC</w:t>
      </w:r>
      <w:r w:rsidR="00EF1C0F">
        <w:rPr>
          <w:color w:val="FF0000"/>
          <w:sz w:val="28"/>
          <w:szCs w:val="28"/>
        </w:rPr>
        <w:t xml:space="preserve"> (250.114)</w:t>
      </w:r>
      <w:r w:rsidR="00C96BA6">
        <w:rPr>
          <w:color w:val="FF0000"/>
          <w:sz w:val="28"/>
          <w:szCs w:val="28"/>
        </w:rPr>
        <w:t xml:space="preserve"> </w:t>
      </w:r>
    </w:p>
    <w:p w14:paraId="28B4077D" w14:textId="3E419B0D" w:rsidR="005F2F9B" w:rsidRDefault="00857523" w:rsidP="004E223F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250.118 (A) </w:t>
      </w:r>
      <w:r w:rsidR="00797DEF">
        <w:rPr>
          <w:color w:val="FF0000"/>
          <w:sz w:val="28"/>
          <w:szCs w:val="28"/>
        </w:rPr>
        <w:t>(5)-(6) New</w:t>
      </w:r>
      <w:r w:rsidR="007A751B">
        <w:rPr>
          <w:color w:val="FF0000"/>
          <w:sz w:val="28"/>
          <w:szCs w:val="28"/>
        </w:rPr>
        <w:t xml:space="preserve">: Rules for Flexible Metal Conduit and Stainless Steel are addressed </w:t>
      </w:r>
    </w:p>
    <w:p w14:paraId="200271A7" w14:textId="59803EEA" w:rsidR="005F635C" w:rsidRDefault="005F635C" w:rsidP="004E223F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250.119 </w:t>
      </w:r>
      <w:r w:rsidR="006C399F">
        <w:rPr>
          <w:color w:val="FF0000"/>
          <w:sz w:val="28"/>
          <w:szCs w:val="28"/>
        </w:rPr>
        <w:t xml:space="preserve">New </w:t>
      </w:r>
      <w:r>
        <w:rPr>
          <w:color w:val="FF0000"/>
          <w:sz w:val="28"/>
          <w:szCs w:val="28"/>
        </w:rPr>
        <w:t xml:space="preserve">(A) </w:t>
      </w:r>
      <w:r w:rsidR="00BB6E38">
        <w:rPr>
          <w:color w:val="FF0000"/>
          <w:sz w:val="28"/>
          <w:szCs w:val="28"/>
        </w:rPr>
        <w:t>Identification of Wire-Type EGCs</w:t>
      </w:r>
      <w:r w:rsidR="00C96BA6">
        <w:rPr>
          <w:color w:val="FF0000"/>
          <w:sz w:val="28"/>
          <w:szCs w:val="28"/>
        </w:rPr>
        <w:t xml:space="preserve"> </w:t>
      </w:r>
    </w:p>
    <w:p w14:paraId="3CF5B872" w14:textId="39B1BAD1" w:rsidR="006C399F" w:rsidRPr="00B57D4B" w:rsidRDefault="006C399F" w:rsidP="004E223F">
      <w:pPr>
        <w:pStyle w:val="ListParagraph"/>
        <w:rPr>
          <w:sz w:val="28"/>
          <w:szCs w:val="28"/>
        </w:rPr>
      </w:pPr>
    </w:p>
    <w:p w14:paraId="7258AFC0" w14:textId="7CE16875" w:rsidR="006C399F" w:rsidRPr="00B57D4B" w:rsidRDefault="00B57D4B" w:rsidP="004E223F">
      <w:pPr>
        <w:pStyle w:val="ListParagraph"/>
        <w:rPr>
          <w:sz w:val="28"/>
          <w:szCs w:val="28"/>
        </w:rPr>
      </w:pPr>
      <w:r w:rsidRPr="00B57D4B">
        <w:rPr>
          <w:sz w:val="28"/>
          <w:szCs w:val="28"/>
        </w:rPr>
        <w:t>250.122 Size of EGCs</w:t>
      </w:r>
    </w:p>
    <w:p w14:paraId="265BC122" w14:textId="652B7B65" w:rsidR="00BA150F" w:rsidRPr="00BA150F" w:rsidRDefault="00BA150F" w:rsidP="00BA150F">
      <w:pPr>
        <w:rPr>
          <w:sz w:val="28"/>
          <w:szCs w:val="28"/>
        </w:rPr>
      </w:pPr>
      <w:r w:rsidRPr="00BA150F">
        <w:rPr>
          <w:sz w:val="28"/>
          <w:szCs w:val="28"/>
        </w:rPr>
        <w:t>Part VII: Methods of EGC Connections</w:t>
      </w:r>
      <w:r w:rsidR="00C96BA6">
        <w:rPr>
          <w:sz w:val="28"/>
          <w:szCs w:val="28"/>
        </w:rPr>
        <w:t xml:space="preserve"> (</w:t>
      </w:r>
      <w:r w:rsidR="00DE5745">
        <w:rPr>
          <w:sz w:val="28"/>
          <w:szCs w:val="28"/>
        </w:rPr>
        <w:t>2</w:t>
      </w:r>
      <w:r w:rsidR="00C96BA6">
        <w:rPr>
          <w:sz w:val="28"/>
          <w:szCs w:val="28"/>
        </w:rPr>
        <w:t>5 min.)</w:t>
      </w:r>
    </w:p>
    <w:p w14:paraId="750CB379" w14:textId="77777777" w:rsidR="00BA150F" w:rsidRDefault="00BA150F" w:rsidP="004E223F">
      <w:pPr>
        <w:pStyle w:val="ListParagraph"/>
        <w:rPr>
          <w:color w:val="FF0000"/>
          <w:sz w:val="28"/>
          <w:szCs w:val="28"/>
        </w:rPr>
      </w:pPr>
    </w:p>
    <w:p w14:paraId="69656F92" w14:textId="1BA64F47" w:rsidR="00E36338" w:rsidRDefault="00797DEF" w:rsidP="004E223F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250-130 (C) New</w:t>
      </w:r>
      <w:r w:rsidR="00AA42C9">
        <w:rPr>
          <w:color w:val="FF0000"/>
          <w:sz w:val="28"/>
          <w:szCs w:val="28"/>
        </w:rPr>
        <w:t xml:space="preserve">: </w:t>
      </w:r>
      <w:r w:rsidR="00375CFF">
        <w:rPr>
          <w:color w:val="FF0000"/>
          <w:sz w:val="28"/>
          <w:szCs w:val="28"/>
        </w:rPr>
        <w:t>Rules</w:t>
      </w:r>
      <w:r w:rsidR="00702723">
        <w:rPr>
          <w:color w:val="FF0000"/>
          <w:sz w:val="28"/>
          <w:szCs w:val="28"/>
        </w:rPr>
        <w:t xml:space="preserve"> for Existing non-grounding devices like snap switches</w:t>
      </w:r>
      <w:r w:rsidR="00C02363">
        <w:rPr>
          <w:color w:val="FF0000"/>
          <w:sz w:val="28"/>
          <w:szCs w:val="28"/>
        </w:rPr>
        <w:t xml:space="preserve">, </w:t>
      </w:r>
      <w:proofErr w:type="gramStart"/>
      <w:r w:rsidR="00C02363">
        <w:rPr>
          <w:color w:val="FF0000"/>
          <w:sz w:val="28"/>
          <w:szCs w:val="28"/>
        </w:rPr>
        <w:t>receptacles</w:t>
      </w:r>
      <w:proofErr w:type="gramEnd"/>
      <w:r w:rsidR="00C02363">
        <w:rPr>
          <w:color w:val="FF0000"/>
          <w:sz w:val="28"/>
          <w:szCs w:val="28"/>
        </w:rPr>
        <w:t xml:space="preserve"> and branch circuit extensions</w:t>
      </w:r>
      <w:r w:rsidR="00E473E6">
        <w:rPr>
          <w:color w:val="FF0000"/>
          <w:sz w:val="28"/>
          <w:szCs w:val="28"/>
        </w:rPr>
        <w:t xml:space="preserve">. </w:t>
      </w:r>
    </w:p>
    <w:p w14:paraId="259E5C67" w14:textId="54B61859" w:rsidR="0025757E" w:rsidRDefault="008B057F" w:rsidP="004E223F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250.140 (A) or (B) </w:t>
      </w:r>
      <w:r w:rsidR="0025757E">
        <w:rPr>
          <w:color w:val="FF0000"/>
          <w:sz w:val="28"/>
          <w:szCs w:val="28"/>
        </w:rPr>
        <w:t xml:space="preserve">New: </w:t>
      </w:r>
      <w:r w:rsidR="00341E3B">
        <w:rPr>
          <w:color w:val="FF0000"/>
          <w:sz w:val="28"/>
          <w:szCs w:val="28"/>
        </w:rPr>
        <w:t xml:space="preserve">Rules for connecting Ranges, Dryers, </w:t>
      </w:r>
      <w:proofErr w:type="gramStart"/>
      <w:r w:rsidR="00CB7E1E">
        <w:rPr>
          <w:color w:val="FF0000"/>
          <w:sz w:val="28"/>
          <w:szCs w:val="28"/>
        </w:rPr>
        <w:t>Washers</w:t>
      </w:r>
      <w:proofErr w:type="gramEnd"/>
      <w:r w:rsidR="00CB7E1E">
        <w:rPr>
          <w:color w:val="FF0000"/>
          <w:sz w:val="28"/>
          <w:szCs w:val="28"/>
        </w:rPr>
        <w:t xml:space="preserve"> and Cooktops </w:t>
      </w:r>
      <w:r w:rsidR="00133B94">
        <w:rPr>
          <w:color w:val="FF0000"/>
          <w:sz w:val="28"/>
          <w:szCs w:val="28"/>
        </w:rPr>
        <w:t>are expanded</w:t>
      </w:r>
    </w:p>
    <w:p w14:paraId="0A56D513" w14:textId="391585BC" w:rsidR="00133B94" w:rsidRDefault="00133B94" w:rsidP="008B057F">
      <w:pPr>
        <w:pStyle w:val="ListParagrap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8B057F">
        <w:rPr>
          <w:color w:val="FF0000"/>
          <w:sz w:val="28"/>
          <w:szCs w:val="28"/>
        </w:rPr>
        <w:t xml:space="preserve">250-148 (A)-(C) </w:t>
      </w:r>
      <w:r>
        <w:rPr>
          <w:color w:val="FF0000"/>
          <w:sz w:val="28"/>
          <w:szCs w:val="28"/>
        </w:rPr>
        <w:t xml:space="preserve">New: </w:t>
      </w:r>
      <w:r w:rsidR="00FE4A32">
        <w:rPr>
          <w:color w:val="FF0000"/>
          <w:sz w:val="28"/>
          <w:szCs w:val="28"/>
        </w:rPr>
        <w:t xml:space="preserve">Rules for </w:t>
      </w:r>
      <w:r w:rsidR="001D40BC">
        <w:rPr>
          <w:color w:val="FF0000"/>
          <w:sz w:val="28"/>
          <w:szCs w:val="28"/>
        </w:rPr>
        <w:t xml:space="preserve">attachments in Boxes are </w:t>
      </w:r>
      <w:proofErr w:type="gramStart"/>
      <w:r w:rsidR="001D40BC">
        <w:rPr>
          <w:color w:val="FF0000"/>
          <w:sz w:val="28"/>
          <w:szCs w:val="28"/>
        </w:rPr>
        <w:t>clarified</w:t>
      </w:r>
      <w:proofErr w:type="gramEnd"/>
      <w:r w:rsidR="001D40BC">
        <w:rPr>
          <w:color w:val="FF0000"/>
          <w:sz w:val="28"/>
          <w:szCs w:val="28"/>
        </w:rPr>
        <w:t xml:space="preserve"> </w:t>
      </w:r>
    </w:p>
    <w:p w14:paraId="36EFC38A" w14:textId="77777777" w:rsidR="0082778E" w:rsidRPr="00B04599" w:rsidRDefault="0082778E" w:rsidP="008B057F">
      <w:pPr>
        <w:pStyle w:val="ListParagraph"/>
        <w:rPr>
          <w:color w:val="FF0000"/>
          <w:sz w:val="28"/>
          <w:szCs w:val="28"/>
        </w:rPr>
      </w:pPr>
    </w:p>
    <w:p w14:paraId="3D9F2921" w14:textId="4A8D33FA" w:rsidR="00F5288E" w:rsidRDefault="0082778E" w:rsidP="00F232AB">
      <w:pPr>
        <w:rPr>
          <w:sz w:val="28"/>
          <w:szCs w:val="28"/>
        </w:rPr>
      </w:pPr>
      <w:r>
        <w:rPr>
          <w:sz w:val="28"/>
          <w:szCs w:val="28"/>
        </w:rPr>
        <w:t>Part VIII: D</w:t>
      </w:r>
      <w:r w:rsidR="008B3808">
        <w:rPr>
          <w:sz w:val="28"/>
          <w:szCs w:val="28"/>
        </w:rPr>
        <w:t xml:space="preserve">C Systems, Part IX: Instruments and Relays &amp; Part X: &gt; 1000 Volts will not be part of  </w:t>
      </w:r>
      <w:r w:rsidR="007726E0">
        <w:rPr>
          <w:sz w:val="28"/>
          <w:szCs w:val="28"/>
        </w:rPr>
        <w:t>this class.</w:t>
      </w:r>
    </w:p>
    <w:p w14:paraId="260FED9D" w14:textId="4C1B7A2C" w:rsidR="00CB61F9" w:rsidRDefault="00CB61F9" w:rsidP="00F232AB">
      <w:pPr>
        <w:rPr>
          <w:sz w:val="28"/>
          <w:szCs w:val="28"/>
        </w:rPr>
      </w:pPr>
    </w:p>
    <w:p w14:paraId="552AD787" w14:textId="7239BDD5" w:rsidR="00CB61F9" w:rsidRPr="00F232AB" w:rsidRDefault="00CB61F9" w:rsidP="00F232AB">
      <w:pPr>
        <w:rPr>
          <w:sz w:val="28"/>
          <w:szCs w:val="28"/>
        </w:rPr>
      </w:pPr>
      <w:r>
        <w:rPr>
          <w:sz w:val="28"/>
          <w:szCs w:val="28"/>
        </w:rPr>
        <w:t>There will be a 10 minute break at 2 hours into the class.</w:t>
      </w:r>
    </w:p>
    <w:p w14:paraId="3D9F2922" w14:textId="77777777" w:rsidR="00F5288E" w:rsidRDefault="00F5288E" w:rsidP="00F5288E">
      <w:pPr>
        <w:pStyle w:val="ListParagraph"/>
        <w:rPr>
          <w:sz w:val="28"/>
          <w:szCs w:val="28"/>
        </w:rPr>
      </w:pPr>
    </w:p>
    <w:p w14:paraId="3D9F2923" w14:textId="2F9C1518" w:rsidR="00F5288E" w:rsidRDefault="00F5288E" w:rsidP="00F5288E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DEFINITIONS</w:t>
      </w:r>
      <w:r w:rsidR="00594DBB">
        <w:rPr>
          <w:sz w:val="28"/>
          <w:szCs w:val="28"/>
        </w:rPr>
        <w:t xml:space="preserve"> </w:t>
      </w:r>
    </w:p>
    <w:p w14:paraId="3D9F2924" w14:textId="77777777" w:rsidR="00F5288E" w:rsidRDefault="00F5288E" w:rsidP="00F5288E">
      <w:pPr>
        <w:pStyle w:val="ListParagraph"/>
        <w:jc w:val="center"/>
        <w:rPr>
          <w:sz w:val="28"/>
          <w:szCs w:val="28"/>
        </w:rPr>
      </w:pPr>
    </w:p>
    <w:p w14:paraId="3D9F2925" w14:textId="77777777" w:rsidR="00F5288E" w:rsidRDefault="00F5288E" w:rsidP="00F5288E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Grounding</w:t>
      </w:r>
    </w:p>
    <w:p w14:paraId="3D9F2926" w14:textId="77777777" w:rsidR="00F5288E" w:rsidRDefault="00F5288E" w:rsidP="00F5288E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Bonding</w:t>
      </w:r>
    </w:p>
    <w:p w14:paraId="3D9F2927" w14:textId="77777777" w:rsidR="00F5288E" w:rsidRPr="00FA3E50" w:rsidRDefault="002D23A7" w:rsidP="00FA3E50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Overload, Short Circuit, Ground Fault</w:t>
      </w:r>
    </w:p>
    <w:p w14:paraId="3D9F2928" w14:textId="77777777" w:rsidR="00F5288E" w:rsidRDefault="00F5288E" w:rsidP="00F5288E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Effective Ground-Fault Current Path</w:t>
      </w:r>
    </w:p>
    <w:p w14:paraId="3D9F2929" w14:textId="77777777" w:rsidR="00F5288E" w:rsidRPr="00FA3E50" w:rsidRDefault="00F5288E" w:rsidP="00FA3E50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Objectionable Current</w:t>
      </w:r>
    </w:p>
    <w:p w14:paraId="3D9F292A" w14:textId="77777777" w:rsidR="00F5288E" w:rsidRDefault="00F5288E" w:rsidP="00F5288E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Main Bonding Jumper</w:t>
      </w:r>
    </w:p>
    <w:p w14:paraId="3D9F2932" w14:textId="21C6B979" w:rsidR="00B42148" w:rsidRPr="00933BA9" w:rsidRDefault="00F5288E" w:rsidP="00933BA9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System Bonding Jumper</w:t>
      </w:r>
      <w:r w:rsidR="00FA3E50">
        <w:rPr>
          <w:sz w:val="28"/>
          <w:szCs w:val="28"/>
        </w:rPr>
        <w:t>/ Supply Side Bonding Jumper</w:t>
      </w:r>
    </w:p>
    <w:p w14:paraId="3D9F2933" w14:textId="77777777" w:rsidR="00B42148" w:rsidRPr="00B42148" w:rsidRDefault="00B42148" w:rsidP="00B42148">
      <w:pPr>
        <w:pStyle w:val="ListParagraph"/>
        <w:rPr>
          <w:sz w:val="28"/>
          <w:szCs w:val="28"/>
        </w:rPr>
      </w:pPr>
    </w:p>
    <w:p w14:paraId="3D9F2936" w14:textId="46C16543" w:rsidR="003E6DC6" w:rsidRDefault="00F5288E" w:rsidP="00EF493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42148">
        <w:rPr>
          <w:sz w:val="28"/>
          <w:szCs w:val="28"/>
        </w:rPr>
        <w:t>Grounding</w:t>
      </w:r>
      <w:r w:rsidR="00FA3E50">
        <w:rPr>
          <w:sz w:val="28"/>
          <w:szCs w:val="28"/>
        </w:rPr>
        <w:t xml:space="preserve"> Electrode Conductor / Grounding Electrode</w:t>
      </w:r>
    </w:p>
    <w:p w14:paraId="0B7FF68A" w14:textId="77777777" w:rsidR="00800CBD" w:rsidRPr="00800CBD" w:rsidRDefault="00800CBD" w:rsidP="00800CBD">
      <w:pPr>
        <w:pStyle w:val="ListParagraph"/>
        <w:rPr>
          <w:sz w:val="28"/>
          <w:szCs w:val="28"/>
        </w:rPr>
      </w:pPr>
    </w:p>
    <w:p w14:paraId="0456A837" w14:textId="77777777" w:rsidR="00800CBD" w:rsidRPr="00EF4932" w:rsidRDefault="00800CBD" w:rsidP="00800CBD">
      <w:pPr>
        <w:pStyle w:val="ListParagraph"/>
        <w:spacing w:line="240" w:lineRule="auto"/>
        <w:ind w:left="1440"/>
        <w:rPr>
          <w:sz w:val="28"/>
          <w:szCs w:val="28"/>
        </w:rPr>
      </w:pPr>
    </w:p>
    <w:p w14:paraId="3D9F2937" w14:textId="77777777" w:rsidR="00F5288E" w:rsidRPr="00D60F0B" w:rsidRDefault="00D60F0B" w:rsidP="002D23A7">
      <w:pPr>
        <w:pStyle w:val="ListParagraph"/>
        <w:spacing w:line="480" w:lineRule="auto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COURSE OBJECTIVES</w:t>
      </w:r>
    </w:p>
    <w:p w14:paraId="3D9F293A" w14:textId="74BC7E7E" w:rsidR="00594DBB" w:rsidRDefault="00F5288E" w:rsidP="00EF4932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Classes on</w:t>
      </w:r>
      <w:r w:rsidR="00D60F0B">
        <w:rPr>
          <w:sz w:val="28"/>
          <w:szCs w:val="28"/>
        </w:rPr>
        <w:t xml:space="preserve"> Grounding and Bonding can take</w:t>
      </w:r>
      <w:r w:rsidR="00BA6CF4">
        <w:rPr>
          <w:sz w:val="28"/>
          <w:szCs w:val="28"/>
        </w:rPr>
        <w:t xml:space="preserve"> days if each part of </w:t>
      </w:r>
      <w:r w:rsidR="00FA3E50">
        <w:rPr>
          <w:sz w:val="28"/>
          <w:szCs w:val="28"/>
        </w:rPr>
        <w:t>20</w:t>
      </w:r>
      <w:r w:rsidR="006726FE">
        <w:rPr>
          <w:sz w:val="28"/>
          <w:szCs w:val="28"/>
        </w:rPr>
        <w:t>2</w:t>
      </w:r>
      <w:r w:rsidR="00D65853">
        <w:rPr>
          <w:sz w:val="28"/>
          <w:szCs w:val="28"/>
        </w:rPr>
        <w:t>3</w:t>
      </w:r>
      <w:r w:rsidR="00FA3E50">
        <w:rPr>
          <w:sz w:val="28"/>
          <w:szCs w:val="28"/>
        </w:rPr>
        <w:t xml:space="preserve"> </w:t>
      </w:r>
      <w:r w:rsidR="00BA6CF4">
        <w:rPr>
          <w:sz w:val="28"/>
          <w:szCs w:val="28"/>
        </w:rPr>
        <w:t>NEC</w:t>
      </w:r>
      <w:r>
        <w:rPr>
          <w:sz w:val="28"/>
          <w:szCs w:val="28"/>
        </w:rPr>
        <w:t xml:space="preserve"> A</w:t>
      </w:r>
      <w:r w:rsidR="002E58DE">
        <w:rPr>
          <w:sz w:val="28"/>
          <w:szCs w:val="28"/>
        </w:rPr>
        <w:t>rticle</w:t>
      </w:r>
      <w:r w:rsidR="00BA6CF4">
        <w:rPr>
          <w:sz w:val="28"/>
          <w:szCs w:val="28"/>
        </w:rPr>
        <w:t xml:space="preserve"> 250</w:t>
      </w:r>
      <w:r w:rsidR="002E58DE">
        <w:rPr>
          <w:sz w:val="28"/>
          <w:szCs w:val="28"/>
        </w:rPr>
        <w:t xml:space="preserve"> is examined completely. </w:t>
      </w:r>
      <w:r>
        <w:rPr>
          <w:sz w:val="28"/>
          <w:szCs w:val="28"/>
        </w:rPr>
        <w:t>This course is designed to cover</w:t>
      </w:r>
      <w:r w:rsidR="00627318">
        <w:rPr>
          <w:sz w:val="28"/>
          <w:szCs w:val="28"/>
        </w:rPr>
        <w:t xml:space="preserve"> in four</w:t>
      </w:r>
      <w:r w:rsidR="00D60F0B">
        <w:rPr>
          <w:sz w:val="28"/>
          <w:szCs w:val="28"/>
        </w:rPr>
        <w:t xml:space="preserve"> hours</w:t>
      </w:r>
      <w:r>
        <w:rPr>
          <w:sz w:val="28"/>
          <w:szCs w:val="28"/>
        </w:rPr>
        <w:t xml:space="preserve"> the basi</w:t>
      </w:r>
      <w:r w:rsidR="00BA6CF4">
        <w:rPr>
          <w:sz w:val="28"/>
          <w:szCs w:val="28"/>
        </w:rPr>
        <w:t xml:space="preserve">c </w:t>
      </w:r>
      <w:r w:rsidR="00707DBD">
        <w:rPr>
          <w:sz w:val="28"/>
          <w:szCs w:val="28"/>
        </w:rPr>
        <w:t xml:space="preserve">understanding of </w:t>
      </w:r>
      <w:r w:rsidR="001314A6">
        <w:rPr>
          <w:sz w:val="28"/>
          <w:szCs w:val="28"/>
        </w:rPr>
        <w:t>the article’s</w:t>
      </w:r>
      <w:r>
        <w:rPr>
          <w:sz w:val="28"/>
          <w:szCs w:val="28"/>
        </w:rPr>
        <w:t xml:space="preserve"> scope</w:t>
      </w:r>
      <w:r w:rsidR="00D5211E">
        <w:rPr>
          <w:sz w:val="28"/>
          <w:szCs w:val="28"/>
        </w:rPr>
        <w:t xml:space="preserve">; insure a proper understanding </w:t>
      </w:r>
      <w:r w:rsidR="00BA6CF4">
        <w:rPr>
          <w:sz w:val="28"/>
          <w:szCs w:val="28"/>
        </w:rPr>
        <w:t>of the terms used</w:t>
      </w:r>
      <w:r w:rsidR="00D5211E">
        <w:rPr>
          <w:sz w:val="28"/>
          <w:szCs w:val="28"/>
        </w:rPr>
        <w:t>; clearly distinguish the purpose of grounding as opposed to bonding and how each method has a distinct role to play in the safe operation of electrical power;</w:t>
      </w:r>
      <w:r w:rsidR="009D44B4">
        <w:rPr>
          <w:sz w:val="28"/>
          <w:szCs w:val="28"/>
        </w:rPr>
        <w:t xml:space="preserve"> </w:t>
      </w:r>
      <w:r w:rsidR="00A105BF">
        <w:rPr>
          <w:sz w:val="28"/>
          <w:szCs w:val="28"/>
        </w:rPr>
        <w:t xml:space="preserve">preventing </w:t>
      </w:r>
      <w:r w:rsidR="009D44B4">
        <w:rPr>
          <w:sz w:val="28"/>
          <w:szCs w:val="28"/>
        </w:rPr>
        <w:t>magnetic interference;</w:t>
      </w:r>
      <w:r w:rsidR="00D5211E">
        <w:rPr>
          <w:sz w:val="28"/>
          <w:szCs w:val="28"/>
        </w:rPr>
        <w:t xml:space="preserve"> and review the different kinds of mechanical connections</w:t>
      </w:r>
      <w:r w:rsidR="00D60F0B">
        <w:rPr>
          <w:sz w:val="28"/>
          <w:szCs w:val="28"/>
        </w:rPr>
        <w:t xml:space="preserve"> in any properly designed grounded and bonded system.</w:t>
      </w:r>
    </w:p>
    <w:p w14:paraId="7E4DA8A6" w14:textId="77777777" w:rsidR="00D65853" w:rsidRPr="00EF4932" w:rsidRDefault="00D65853" w:rsidP="00EF4932">
      <w:pPr>
        <w:pStyle w:val="ListParagraph"/>
        <w:spacing w:line="360" w:lineRule="auto"/>
        <w:ind w:left="1440"/>
        <w:rPr>
          <w:sz w:val="28"/>
          <w:szCs w:val="28"/>
        </w:rPr>
      </w:pPr>
    </w:p>
    <w:p w14:paraId="3D9F293B" w14:textId="77777777" w:rsidR="00D60F0B" w:rsidRDefault="00D60F0B" w:rsidP="00D60F0B">
      <w:pPr>
        <w:pStyle w:val="ListParagraph"/>
        <w:spacing w:line="360" w:lineRule="auto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LEARNING OUTCOME</w:t>
      </w:r>
    </w:p>
    <w:p w14:paraId="3D9F293D" w14:textId="6BD0BB40" w:rsidR="00594DBB" w:rsidRPr="00594DBB" w:rsidRDefault="00D60F0B" w:rsidP="00EF4932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Electricians who take this class will understand clearly the difference between Grounding and Bonding.  They will</w:t>
      </w:r>
      <w:r w:rsidR="002E58DE">
        <w:rPr>
          <w:sz w:val="28"/>
          <w:szCs w:val="28"/>
        </w:rPr>
        <w:t xml:space="preserve"> understand the scope</w:t>
      </w:r>
      <w:r w:rsidR="000C4BF2">
        <w:rPr>
          <w:sz w:val="28"/>
          <w:szCs w:val="28"/>
        </w:rPr>
        <w:t xml:space="preserve"> and complexity</w:t>
      </w:r>
      <w:r w:rsidR="00BA6CF4">
        <w:rPr>
          <w:sz w:val="28"/>
          <w:szCs w:val="28"/>
        </w:rPr>
        <w:t xml:space="preserve"> of documents</w:t>
      </w:r>
      <w:r w:rsidR="002E58DE">
        <w:rPr>
          <w:sz w:val="28"/>
          <w:szCs w:val="28"/>
        </w:rPr>
        <w:t>; they will</w:t>
      </w:r>
      <w:r>
        <w:rPr>
          <w:sz w:val="28"/>
          <w:szCs w:val="28"/>
        </w:rPr>
        <w:t xml:space="preserve"> be able to explain why the </w:t>
      </w:r>
      <w:r w:rsidR="00FA3E50">
        <w:rPr>
          <w:sz w:val="28"/>
          <w:szCs w:val="28"/>
        </w:rPr>
        <w:t>20</w:t>
      </w:r>
      <w:r w:rsidR="00963AE2">
        <w:rPr>
          <w:sz w:val="28"/>
          <w:szCs w:val="28"/>
        </w:rPr>
        <w:t>2</w:t>
      </w:r>
      <w:r w:rsidR="00D65853">
        <w:rPr>
          <w:sz w:val="28"/>
          <w:szCs w:val="28"/>
        </w:rPr>
        <w:t>3</w:t>
      </w:r>
      <w:r w:rsidR="00FA3E50">
        <w:rPr>
          <w:sz w:val="28"/>
          <w:szCs w:val="28"/>
        </w:rPr>
        <w:t xml:space="preserve"> </w:t>
      </w:r>
      <w:r w:rsidR="00BA6CF4">
        <w:rPr>
          <w:sz w:val="28"/>
          <w:szCs w:val="28"/>
        </w:rPr>
        <w:t>NEC</w:t>
      </w:r>
      <w:r w:rsidR="000C4BF2">
        <w:rPr>
          <w:sz w:val="28"/>
          <w:szCs w:val="28"/>
        </w:rPr>
        <w:t xml:space="preserve"> prohibits grounding</w:t>
      </w:r>
      <w:r>
        <w:rPr>
          <w:sz w:val="28"/>
          <w:szCs w:val="28"/>
        </w:rPr>
        <w:t xml:space="preserve"> as an effective ground fault current path;</w:t>
      </w:r>
      <w:r w:rsidR="002E58DE">
        <w:rPr>
          <w:sz w:val="28"/>
          <w:szCs w:val="28"/>
        </w:rPr>
        <w:t xml:space="preserve"> they will be aware of how lightning and transients affect electrical systems; they will understand the importance of an effective ground fault current path</w:t>
      </w:r>
      <w:r w:rsidR="000C4BF2">
        <w:rPr>
          <w:sz w:val="28"/>
          <w:szCs w:val="28"/>
        </w:rPr>
        <w:t xml:space="preserve"> in a bonded system</w:t>
      </w:r>
      <w:r w:rsidR="002E58DE">
        <w:rPr>
          <w:sz w:val="28"/>
          <w:szCs w:val="28"/>
        </w:rPr>
        <w:t>;</w:t>
      </w:r>
      <w:r w:rsidR="00594DBB">
        <w:rPr>
          <w:sz w:val="28"/>
          <w:szCs w:val="28"/>
        </w:rPr>
        <w:t xml:space="preserve"> </w:t>
      </w:r>
      <w:r w:rsidR="002E58DE">
        <w:rPr>
          <w:sz w:val="28"/>
          <w:szCs w:val="28"/>
        </w:rPr>
        <w:t xml:space="preserve">and </w:t>
      </w:r>
      <w:r>
        <w:rPr>
          <w:sz w:val="28"/>
          <w:szCs w:val="28"/>
        </w:rPr>
        <w:t>they will gain some familiarity with the different mechanical g</w:t>
      </w:r>
      <w:r w:rsidR="002E58DE">
        <w:rPr>
          <w:sz w:val="28"/>
          <w:szCs w:val="28"/>
        </w:rPr>
        <w:t>rounding and bonding methods.</w:t>
      </w:r>
    </w:p>
    <w:p w14:paraId="3D9F293E" w14:textId="77777777" w:rsidR="002D23A7" w:rsidRDefault="002D23A7" w:rsidP="002D23A7">
      <w:pPr>
        <w:pStyle w:val="ListParagraph"/>
        <w:spacing w:line="360" w:lineRule="auto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INSTRUCTOR</w:t>
      </w:r>
    </w:p>
    <w:p w14:paraId="3D9F293F" w14:textId="64A362D5" w:rsidR="000B1BA7" w:rsidRDefault="002D23A7" w:rsidP="00BA6CF4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The course in</w:t>
      </w:r>
      <w:r w:rsidR="003E6DC6">
        <w:rPr>
          <w:sz w:val="28"/>
          <w:szCs w:val="28"/>
        </w:rPr>
        <w:t>struct</w:t>
      </w:r>
      <w:r w:rsidR="00BA6CF4">
        <w:rPr>
          <w:sz w:val="28"/>
          <w:szCs w:val="28"/>
        </w:rPr>
        <w:t xml:space="preserve">or is Ralph Bliquez who </w:t>
      </w:r>
      <w:r w:rsidR="00C760DF">
        <w:rPr>
          <w:sz w:val="28"/>
          <w:szCs w:val="28"/>
        </w:rPr>
        <w:t>has taught</w:t>
      </w:r>
      <w:r w:rsidR="00BA6CF4">
        <w:rPr>
          <w:sz w:val="28"/>
          <w:szCs w:val="28"/>
        </w:rPr>
        <w:t xml:space="preserve"> at the NECA/IBEW Training Center and is authorized to teach continuing education classes for credit by the states of Oregon, Washington, California, Nevada, Montana and Utah.</w:t>
      </w:r>
    </w:p>
    <w:p w14:paraId="3D9F2940" w14:textId="77777777" w:rsidR="00B42148" w:rsidRPr="00BA6CF4" w:rsidRDefault="00B42148" w:rsidP="00BA6CF4">
      <w:pPr>
        <w:pStyle w:val="ListParagraph"/>
        <w:spacing w:line="360" w:lineRule="auto"/>
        <w:ind w:left="1440"/>
        <w:rPr>
          <w:sz w:val="28"/>
          <w:szCs w:val="28"/>
        </w:rPr>
      </w:pPr>
    </w:p>
    <w:p w14:paraId="3D9F2941" w14:textId="77777777" w:rsidR="000B1BA7" w:rsidRDefault="000B1BA7" w:rsidP="000B1BA7">
      <w:pPr>
        <w:pStyle w:val="ListParagraph"/>
        <w:spacing w:line="360" w:lineRule="auto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COURSE MATERIALS</w:t>
      </w:r>
    </w:p>
    <w:p w14:paraId="3D9F2942" w14:textId="7EC5E9D9" w:rsidR="000B1BA7" w:rsidRPr="002D23A7" w:rsidRDefault="000B1BA7" w:rsidP="000B1BA7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materials for the course will be a selection of slides with quotations taken directly from Article 250 of the </w:t>
      </w:r>
      <w:r w:rsidR="00FA3E50">
        <w:rPr>
          <w:sz w:val="28"/>
          <w:szCs w:val="28"/>
        </w:rPr>
        <w:t>20</w:t>
      </w:r>
      <w:r w:rsidR="00C760DF">
        <w:rPr>
          <w:sz w:val="28"/>
          <w:szCs w:val="28"/>
        </w:rPr>
        <w:t>2</w:t>
      </w:r>
      <w:r w:rsidR="00D65853">
        <w:rPr>
          <w:sz w:val="28"/>
          <w:szCs w:val="28"/>
        </w:rPr>
        <w:t>3</w:t>
      </w:r>
      <w:r w:rsidR="00FA3E50">
        <w:rPr>
          <w:sz w:val="28"/>
          <w:szCs w:val="28"/>
        </w:rPr>
        <w:t xml:space="preserve"> </w:t>
      </w:r>
      <w:r>
        <w:rPr>
          <w:sz w:val="28"/>
          <w:szCs w:val="28"/>
        </w:rPr>
        <w:t>NEC</w:t>
      </w:r>
      <w:r w:rsidR="00FD390C">
        <w:rPr>
          <w:sz w:val="28"/>
          <w:szCs w:val="28"/>
        </w:rPr>
        <w:t>, examples of the different jumpers and ground connections both in slides and physical examples, illustrations of the correct and incorrect methods of bonding and grounding per the Article</w:t>
      </w:r>
      <w:r w:rsidR="003E6DC6">
        <w:rPr>
          <w:sz w:val="28"/>
          <w:szCs w:val="28"/>
        </w:rPr>
        <w:t>,</w:t>
      </w:r>
      <w:r w:rsidR="00FD390C">
        <w:rPr>
          <w:sz w:val="28"/>
          <w:szCs w:val="28"/>
        </w:rPr>
        <w:t xml:space="preserve"> </w:t>
      </w:r>
      <w:r w:rsidR="003E6DC6">
        <w:rPr>
          <w:sz w:val="28"/>
          <w:szCs w:val="28"/>
        </w:rPr>
        <w:t xml:space="preserve">sources of Objectionable Current and its effects on electromagnetic interference </w:t>
      </w:r>
      <w:r w:rsidR="00FA3E50">
        <w:rPr>
          <w:sz w:val="28"/>
          <w:szCs w:val="28"/>
        </w:rPr>
        <w:t xml:space="preserve">and the </w:t>
      </w:r>
      <w:r w:rsidR="00FD390C">
        <w:rPr>
          <w:sz w:val="28"/>
          <w:szCs w:val="28"/>
        </w:rPr>
        <w:t>quizzes</w:t>
      </w:r>
      <w:r w:rsidR="00FA47F2">
        <w:rPr>
          <w:sz w:val="28"/>
          <w:szCs w:val="28"/>
        </w:rPr>
        <w:t xml:space="preserve"> (on-line </w:t>
      </w:r>
      <w:r w:rsidR="001C3C79">
        <w:rPr>
          <w:sz w:val="28"/>
          <w:szCs w:val="28"/>
        </w:rPr>
        <w:t xml:space="preserve">or </w:t>
      </w:r>
      <w:r w:rsidR="00FA47F2">
        <w:rPr>
          <w:sz w:val="28"/>
          <w:szCs w:val="28"/>
        </w:rPr>
        <w:t>paper as appropriate)</w:t>
      </w:r>
      <w:r w:rsidR="00FD390C">
        <w:rPr>
          <w:sz w:val="28"/>
          <w:szCs w:val="28"/>
        </w:rPr>
        <w:t xml:space="preserve"> which </w:t>
      </w:r>
      <w:r w:rsidR="00627318">
        <w:rPr>
          <w:sz w:val="28"/>
          <w:szCs w:val="28"/>
        </w:rPr>
        <w:t>reinforce the material</w:t>
      </w:r>
      <w:r w:rsidR="00FD390C">
        <w:rPr>
          <w:sz w:val="28"/>
          <w:szCs w:val="28"/>
        </w:rPr>
        <w:t>.</w:t>
      </w:r>
    </w:p>
    <w:sectPr w:rsidR="000B1BA7" w:rsidRPr="002D23A7" w:rsidSect="00A20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A20"/>
    <w:multiLevelType w:val="hybridMultilevel"/>
    <w:tmpl w:val="6FA0E850"/>
    <w:lvl w:ilvl="0" w:tplc="FE90A08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35C"/>
    <w:multiLevelType w:val="hybridMultilevel"/>
    <w:tmpl w:val="5D4A5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25A8C"/>
    <w:multiLevelType w:val="multilevel"/>
    <w:tmpl w:val="CBA29840"/>
    <w:lvl w:ilvl="0">
      <w:start w:val="25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5A14096"/>
    <w:multiLevelType w:val="hybridMultilevel"/>
    <w:tmpl w:val="F760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E4522"/>
    <w:multiLevelType w:val="hybridMultilevel"/>
    <w:tmpl w:val="96141AC6"/>
    <w:lvl w:ilvl="0" w:tplc="72C2F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F452E2"/>
    <w:multiLevelType w:val="hybridMultilevel"/>
    <w:tmpl w:val="FAC63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868532">
    <w:abstractNumId w:val="0"/>
  </w:num>
  <w:num w:numId="2" w16cid:durableId="850680233">
    <w:abstractNumId w:val="1"/>
  </w:num>
  <w:num w:numId="3" w16cid:durableId="1071075884">
    <w:abstractNumId w:val="3"/>
  </w:num>
  <w:num w:numId="4" w16cid:durableId="1967850755">
    <w:abstractNumId w:val="5"/>
  </w:num>
  <w:num w:numId="5" w16cid:durableId="672491325">
    <w:abstractNumId w:val="4"/>
  </w:num>
  <w:num w:numId="6" w16cid:durableId="89204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FD"/>
    <w:rsid w:val="00003405"/>
    <w:rsid w:val="0000392E"/>
    <w:rsid w:val="00016E27"/>
    <w:rsid w:val="00031602"/>
    <w:rsid w:val="00044C32"/>
    <w:rsid w:val="00044E80"/>
    <w:rsid w:val="000472D4"/>
    <w:rsid w:val="00047644"/>
    <w:rsid w:val="0008094A"/>
    <w:rsid w:val="00083230"/>
    <w:rsid w:val="0008658A"/>
    <w:rsid w:val="000A0DC0"/>
    <w:rsid w:val="000B1BA7"/>
    <w:rsid w:val="000C4BF2"/>
    <w:rsid w:val="000D0F01"/>
    <w:rsid w:val="000E60A9"/>
    <w:rsid w:val="000F2FF5"/>
    <w:rsid w:val="00100C02"/>
    <w:rsid w:val="00105900"/>
    <w:rsid w:val="00110DBF"/>
    <w:rsid w:val="00117C00"/>
    <w:rsid w:val="001263D7"/>
    <w:rsid w:val="001307AD"/>
    <w:rsid w:val="00130A6E"/>
    <w:rsid w:val="001314A6"/>
    <w:rsid w:val="00132AE1"/>
    <w:rsid w:val="00133B94"/>
    <w:rsid w:val="00145B4A"/>
    <w:rsid w:val="001478F2"/>
    <w:rsid w:val="00150B34"/>
    <w:rsid w:val="00155EB5"/>
    <w:rsid w:val="00157FDF"/>
    <w:rsid w:val="0017793D"/>
    <w:rsid w:val="00195266"/>
    <w:rsid w:val="001A61CC"/>
    <w:rsid w:val="001B2B9C"/>
    <w:rsid w:val="001B2DD8"/>
    <w:rsid w:val="001C3C79"/>
    <w:rsid w:val="001C57FA"/>
    <w:rsid w:val="001C7F2C"/>
    <w:rsid w:val="001D0B6A"/>
    <w:rsid w:val="001D40BC"/>
    <w:rsid w:val="001F6C96"/>
    <w:rsid w:val="00222808"/>
    <w:rsid w:val="00240B36"/>
    <w:rsid w:val="00250C16"/>
    <w:rsid w:val="002543C0"/>
    <w:rsid w:val="0025757E"/>
    <w:rsid w:val="00260E17"/>
    <w:rsid w:val="00262B52"/>
    <w:rsid w:val="00262F36"/>
    <w:rsid w:val="002654AC"/>
    <w:rsid w:val="0027195B"/>
    <w:rsid w:val="0028008B"/>
    <w:rsid w:val="002A1F38"/>
    <w:rsid w:val="002A233E"/>
    <w:rsid w:val="002A4053"/>
    <w:rsid w:val="002B0A76"/>
    <w:rsid w:val="002D1C18"/>
    <w:rsid w:val="002D23A7"/>
    <w:rsid w:val="002D26CE"/>
    <w:rsid w:val="002D3AF0"/>
    <w:rsid w:val="002D644C"/>
    <w:rsid w:val="002E38B1"/>
    <w:rsid w:val="002E58DE"/>
    <w:rsid w:val="002E5BFD"/>
    <w:rsid w:val="002E7F99"/>
    <w:rsid w:val="002F0C27"/>
    <w:rsid w:val="002F2414"/>
    <w:rsid w:val="002F3D0B"/>
    <w:rsid w:val="002F7B49"/>
    <w:rsid w:val="00301437"/>
    <w:rsid w:val="003062DD"/>
    <w:rsid w:val="00314AE6"/>
    <w:rsid w:val="00316028"/>
    <w:rsid w:val="0032068E"/>
    <w:rsid w:val="003215A8"/>
    <w:rsid w:val="00324374"/>
    <w:rsid w:val="00335A83"/>
    <w:rsid w:val="00337C54"/>
    <w:rsid w:val="00341E3B"/>
    <w:rsid w:val="00342409"/>
    <w:rsid w:val="0035294C"/>
    <w:rsid w:val="0035719D"/>
    <w:rsid w:val="00361452"/>
    <w:rsid w:val="003652A9"/>
    <w:rsid w:val="0036721B"/>
    <w:rsid w:val="00374EA1"/>
    <w:rsid w:val="00375A80"/>
    <w:rsid w:val="00375CFF"/>
    <w:rsid w:val="00377287"/>
    <w:rsid w:val="003B5D4D"/>
    <w:rsid w:val="003C06E3"/>
    <w:rsid w:val="003C4044"/>
    <w:rsid w:val="003C42CF"/>
    <w:rsid w:val="003C6B09"/>
    <w:rsid w:val="003D7165"/>
    <w:rsid w:val="003E3EB4"/>
    <w:rsid w:val="003E6865"/>
    <w:rsid w:val="003E6DC6"/>
    <w:rsid w:val="004156CA"/>
    <w:rsid w:val="00422161"/>
    <w:rsid w:val="00436A2E"/>
    <w:rsid w:val="00455DE1"/>
    <w:rsid w:val="00463D09"/>
    <w:rsid w:val="00494578"/>
    <w:rsid w:val="00494773"/>
    <w:rsid w:val="00497D37"/>
    <w:rsid w:val="004A1390"/>
    <w:rsid w:val="004A426B"/>
    <w:rsid w:val="004B132D"/>
    <w:rsid w:val="004C2193"/>
    <w:rsid w:val="004D1ECB"/>
    <w:rsid w:val="004D4964"/>
    <w:rsid w:val="004E223F"/>
    <w:rsid w:val="004E5423"/>
    <w:rsid w:val="004E61AA"/>
    <w:rsid w:val="004F26CE"/>
    <w:rsid w:val="004F5C95"/>
    <w:rsid w:val="004F6BB6"/>
    <w:rsid w:val="004F758A"/>
    <w:rsid w:val="004F7B2D"/>
    <w:rsid w:val="0050203C"/>
    <w:rsid w:val="00521AFD"/>
    <w:rsid w:val="00523792"/>
    <w:rsid w:val="00533BEB"/>
    <w:rsid w:val="00540E77"/>
    <w:rsid w:val="005450E1"/>
    <w:rsid w:val="00547292"/>
    <w:rsid w:val="00547C05"/>
    <w:rsid w:val="0055657A"/>
    <w:rsid w:val="0056490A"/>
    <w:rsid w:val="00574B3E"/>
    <w:rsid w:val="00577243"/>
    <w:rsid w:val="0058153E"/>
    <w:rsid w:val="00581C5D"/>
    <w:rsid w:val="00594DBB"/>
    <w:rsid w:val="005968D4"/>
    <w:rsid w:val="005A05D4"/>
    <w:rsid w:val="005C4237"/>
    <w:rsid w:val="005C43ED"/>
    <w:rsid w:val="005C5AD1"/>
    <w:rsid w:val="005E70CD"/>
    <w:rsid w:val="005F2F9B"/>
    <w:rsid w:val="005F42C7"/>
    <w:rsid w:val="005F635C"/>
    <w:rsid w:val="00616009"/>
    <w:rsid w:val="0062147C"/>
    <w:rsid w:val="00622E82"/>
    <w:rsid w:val="00627318"/>
    <w:rsid w:val="00635E39"/>
    <w:rsid w:val="006369DA"/>
    <w:rsid w:val="00640DB4"/>
    <w:rsid w:val="0064628C"/>
    <w:rsid w:val="0065768A"/>
    <w:rsid w:val="006726FE"/>
    <w:rsid w:val="00681DDD"/>
    <w:rsid w:val="00684E09"/>
    <w:rsid w:val="00692802"/>
    <w:rsid w:val="006966FC"/>
    <w:rsid w:val="006A5EB2"/>
    <w:rsid w:val="006A6244"/>
    <w:rsid w:val="006B0922"/>
    <w:rsid w:val="006C399F"/>
    <w:rsid w:val="006C49B8"/>
    <w:rsid w:val="006C7C7C"/>
    <w:rsid w:val="006D5438"/>
    <w:rsid w:val="006E7D64"/>
    <w:rsid w:val="006F34E1"/>
    <w:rsid w:val="006F6E92"/>
    <w:rsid w:val="00702723"/>
    <w:rsid w:val="00707DBD"/>
    <w:rsid w:val="0073285B"/>
    <w:rsid w:val="00761014"/>
    <w:rsid w:val="007640FA"/>
    <w:rsid w:val="007726E0"/>
    <w:rsid w:val="00774666"/>
    <w:rsid w:val="00774E1F"/>
    <w:rsid w:val="00777493"/>
    <w:rsid w:val="00783A0D"/>
    <w:rsid w:val="007846EE"/>
    <w:rsid w:val="00784E02"/>
    <w:rsid w:val="00797DEF"/>
    <w:rsid w:val="007A5214"/>
    <w:rsid w:val="007A751B"/>
    <w:rsid w:val="007B3342"/>
    <w:rsid w:val="007B4141"/>
    <w:rsid w:val="007C7D54"/>
    <w:rsid w:val="007D193B"/>
    <w:rsid w:val="007D60B3"/>
    <w:rsid w:val="007E7A1D"/>
    <w:rsid w:val="007F041D"/>
    <w:rsid w:val="007F07AC"/>
    <w:rsid w:val="007F35B0"/>
    <w:rsid w:val="0080040A"/>
    <w:rsid w:val="00800CBD"/>
    <w:rsid w:val="00801106"/>
    <w:rsid w:val="008022A2"/>
    <w:rsid w:val="00804BE7"/>
    <w:rsid w:val="008139DD"/>
    <w:rsid w:val="00815442"/>
    <w:rsid w:val="00822194"/>
    <w:rsid w:val="0082396E"/>
    <w:rsid w:val="00823F7C"/>
    <w:rsid w:val="008263C7"/>
    <w:rsid w:val="0082778E"/>
    <w:rsid w:val="00831567"/>
    <w:rsid w:val="008376F7"/>
    <w:rsid w:val="00840E35"/>
    <w:rsid w:val="00841426"/>
    <w:rsid w:val="00856B8A"/>
    <w:rsid w:val="00857523"/>
    <w:rsid w:val="00866414"/>
    <w:rsid w:val="00891581"/>
    <w:rsid w:val="00891A7C"/>
    <w:rsid w:val="008A05E2"/>
    <w:rsid w:val="008A49EF"/>
    <w:rsid w:val="008A59F7"/>
    <w:rsid w:val="008B057F"/>
    <w:rsid w:val="008B3195"/>
    <w:rsid w:val="008B3808"/>
    <w:rsid w:val="008C735D"/>
    <w:rsid w:val="008D2132"/>
    <w:rsid w:val="008D3F61"/>
    <w:rsid w:val="008D60F3"/>
    <w:rsid w:val="008E1EF6"/>
    <w:rsid w:val="008E4918"/>
    <w:rsid w:val="008E549E"/>
    <w:rsid w:val="008F6E91"/>
    <w:rsid w:val="008F6F0B"/>
    <w:rsid w:val="008F764F"/>
    <w:rsid w:val="008F7688"/>
    <w:rsid w:val="009042EB"/>
    <w:rsid w:val="00910CC8"/>
    <w:rsid w:val="00910D26"/>
    <w:rsid w:val="0091282D"/>
    <w:rsid w:val="00913CF0"/>
    <w:rsid w:val="009155D0"/>
    <w:rsid w:val="00921844"/>
    <w:rsid w:val="00923031"/>
    <w:rsid w:val="00923C85"/>
    <w:rsid w:val="00933BA9"/>
    <w:rsid w:val="0093713A"/>
    <w:rsid w:val="00947E4F"/>
    <w:rsid w:val="0095026C"/>
    <w:rsid w:val="00956E1F"/>
    <w:rsid w:val="00963AE2"/>
    <w:rsid w:val="009701EC"/>
    <w:rsid w:val="009701F8"/>
    <w:rsid w:val="009708C7"/>
    <w:rsid w:val="00980AB0"/>
    <w:rsid w:val="00981C71"/>
    <w:rsid w:val="009846F3"/>
    <w:rsid w:val="00991A09"/>
    <w:rsid w:val="009C4048"/>
    <w:rsid w:val="009C69FA"/>
    <w:rsid w:val="009D44B4"/>
    <w:rsid w:val="009F6509"/>
    <w:rsid w:val="00A105BF"/>
    <w:rsid w:val="00A10F40"/>
    <w:rsid w:val="00A17466"/>
    <w:rsid w:val="00A208F2"/>
    <w:rsid w:val="00A264EF"/>
    <w:rsid w:val="00A37829"/>
    <w:rsid w:val="00A47154"/>
    <w:rsid w:val="00A4777F"/>
    <w:rsid w:val="00A5135A"/>
    <w:rsid w:val="00A56A74"/>
    <w:rsid w:val="00A6109A"/>
    <w:rsid w:val="00A72514"/>
    <w:rsid w:val="00A75119"/>
    <w:rsid w:val="00A81EB8"/>
    <w:rsid w:val="00A86C87"/>
    <w:rsid w:val="00A9354A"/>
    <w:rsid w:val="00A955C0"/>
    <w:rsid w:val="00AA16E3"/>
    <w:rsid w:val="00AA42C9"/>
    <w:rsid w:val="00AB186B"/>
    <w:rsid w:val="00AB6FE4"/>
    <w:rsid w:val="00AC6520"/>
    <w:rsid w:val="00AD16F0"/>
    <w:rsid w:val="00AE02CB"/>
    <w:rsid w:val="00AE05B2"/>
    <w:rsid w:val="00AE5769"/>
    <w:rsid w:val="00AF5AD1"/>
    <w:rsid w:val="00B04599"/>
    <w:rsid w:val="00B06E8A"/>
    <w:rsid w:val="00B17EEA"/>
    <w:rsid w:val="00B20BF2"/>
    <w:rsid w:val="00B27BF5"/>
    <w:rsid w:val="00B42148"/>
    <w:rsid w:val="00B43B78"/>
    <w:rsid w:val="00B51B07"/>
    <w:rsid w:val="00B52867"/>
    <w:rsid w:val="00B57D4B"/>
    <w:rsid w:val="00B63677"/>
    <w:rsid w:val="00B65BD8"/>
    <w:rsid w:val="00B66F32"/>
    <w:rsid w:val="00B749D3"/>
    <w:rsid w:val="00B77A68"/>
    <w:rsid w:val="00B80C46"/>
    <w:rsid w:val="00B92E4A"/>
    <w:rsid w:val="00BA150F"/>
    <w:rsid w:val="00BA1722"/>
    <w:rsid w:val="00BA505F"/>
    <w:rsid w:val="00BA6CF4"/>
    <w:rsid w:val="00BB6E38"/>
    <w:rsid w:val="00BC33F5"/>
    <w:rsid w:val="00BD4EF9"/>
    <w:rsid w:val="00BD63C4"/>
    <w:rsid w:val="00BE0BB4"/>
    <w:rsid w:val="00BE55F1"/>
    <w:rsid w:val="00BF3DDB"/>
    <w:rsid w:val="00C02363"/>
    <w:rsid w:val="00C2134B"/>
    <w:rsid w:val="00C21785"/>
    <w:rsid w:val="00C24246"/>
    <w:rsid w:val="00C3331B"/>
    <w:rsid w:val="00C552F6"/>
    <w:rsid w:val="00C56EBB"/>
    <w:rsid w:val="00C65634"/>
    <w:rsid w:val="00C728D8"/>
    <w:rsid w:val="00C760DF"/>
    <w:rsid w:val="00C830D9"/>
    <w:rsid w:val="00C96BA6"/>
    <w:rsid w:val="00CB61F9"/>
    <w:rsid w:val="00CB7E1E"/>
    <w:rsid w:val="00CC7AC5"/>
    <w:rsid w:val="00CD1685"/>
    <w:rsid w:val="00CE23CC"/>
    <w:rsid w:val="00CF1F2B"/>
    <w:rsid w:val="00D17FE6"/>
    <w:rsid w:val="00D20ACB"/>
    <w:rsid w:val="00D259EB"/>
    <w:rsid w:val="00D30602"/>
    <w:rsid w:val="00D30D54"/>
    <w:rsid w:val="00D34CA4"/>
    <w:rsid w:val="00D37935"/>
    <w:rsid w:val="00D42FD3"/>
    <w:rsid w:val="00D47958"/>
    <w:rsid w:val="00D5211E"/>
    <w:rsid w:val="00D52C24"/>
    <w:rsid w:val="00D54E65"/>
    <w:rsid w:val="00D56DF2"/>
    <w:rsid w:val="00D60F0B"/>
    <w:rsid w:val="00D62899"/>
    <w:rsid w:val="00D648D3"/>
    <w:rsid w:val="00D65853"/>
    <w:rsid w:val="00D72EB2"/>
    <w:rsid w:val="00D75D84"/>
    <w:rsid w:val="00DA42DF"/>
    <w:rsid w:val="00DC4BAE"/>
    <w:rsid w:val="00DE01E5"/>
    <w:rsid w:val="00DE3092"/>
    <w:rsid w:val="00DE5745"/>
    <w:rsid w:val="00DE7489"/>
    <w:rsid w:val="00E12D05"/>
    <w:rsid w:val="00E15A22"/>
    <w:rsid w:val="00E230A9"/>
    <w:rsid w:val="00E2448F"/>
    <w:rsid w:val="00E36338"/>
    <w:rsid w:val="00E473E6"/>
    <w:rsid w:val="00E5518B"/>
    <w:rsid w:val="00E5571C"/>
    <w:rsid w:val="00E57D58"/>
    <w:rsid w:val="00E64D9D"/>
    <w:rsid w:val="00E831DB"/>
    <w:rsid w:val="00E83F10"/>
    <w:rsid w:val="00E915C3"/>
    <w:rsid w:val="00EA541F"/>
    <w:rsid w:val="00EC066E"/>
    <w:rsid w:val="00EC5386"/>
    <w:rsid w:val="00ED0C2A"/>
    <w:rsid w:val="00ED13A9"/>
    <w:rsid w:val="00EE4A71"/>
    <w:rsid w:val="00EF08E9"/>
    <w:rsid w:val="00EF183E"/>
    <w:rsid w:val="00EF1C0F"/>
    <w:rsid w:val="00EF4932"/>
    <w:rsid w:val="00F176C6"/>
    <w:rsid w:val="00F232AB"/>
    <w:rsid w:val="00F23C68"/>
    <w:rsid w:val="00F34546"/>
    <w:rsid w:val="00F356CC"/>
    <w:rsid w:val="00F36C86"/>
    <w:rsid w:val="00F373E4"/>
    <w:rsid w:val="00F42883"/>
    <w:rsid w:val="00F5288E"/>
    <w:rsid w:val="00F5752D"/>
    <w:rsid w:val="00F62C0F"/>
    <w:rsid w:val="00F66CA1"/>
    <w:rsid w:val="00F800D7"/>
    <w:rsid w:val="00F81245"/>
    <w:rsid w:val="00F815A3"/>
    <w:rsid w:val="00F83A47"/>
    <w:rsid w:val="00F902BB"/>
    <w:rsid w:val="00F90D89"/>
    <w:rsid w:val="00F93170"/>
    <w:rsid w:val="00F93D56"/>
    <w:rsid w:val="00F97C6A"/>
    <w:rsid w:val="00FA09EF"/>
    <w:rsid w:val="00FA3B14"/>
    <w:rsid w:val="00FA3E50"/>
    <w:rsid w:val="00FA47F2"/>
    <w:rsid w:val="00FC0A4F"/>
    <w:rsid w:val="00FD3307"/>
    <w:rsid w:val="00FD390C"/>
    <w:rsid w:val="00FE4A32"/>
    <w:rsid w:val="00FF0892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28C9"/>
  <w15:docId w15:val="{79AD4577-7322-463F-8B5C-6A11C455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A7"/>
    <w:rPr>
      <w:rFonts w:ascii="Tahoma" w:hAnsi="Tahoma" w:cs="Tahoma"/>
      <w:sz w:val="16"/>
      <w:szCs w:val="16"/>
    </w:rPr>
  </w:style>
  <w:style w:type="paragraph" w:customStyle="1" w:styleId="Body">
    <w:name w:val="Body"/>
    <w:rsid w:val="00F800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Bliquez</dc:creator>
  <cp:lastModifiedBy>Ralph Bliquez</cp:lastModifiedBy>
  <cp:revision>2</cp:revision>
  <cp:lastPrinted>2017-06-21T22:21:00Z</cp:lastPrinted>
  <dcterms:created xsi:type="dcterms:W3CDTF">2023-03-20T16:19:00Z</dcterms:created>
  <dcterms:modified xsi:type="dcterms:W3CDTF">2023-03-20T16:19:00Z</dcterms:modified>
</cp:coreProperties>
</file>