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E" w:rsidRDefault="00D22702" w:rsidP="00D22702">
      <w:p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D22702">
        <w:rPr>
          <w:rFonts w:cs="ArialMT"/>
          <w:color w:val="231F20"/>
        </w:rPr>
        <w:t xml:space="preserve">This course will review the </w:t>
      </w:r>
      <w:r w:rsidR="007F76E7">
        <w:rPr>
          <w:rFonts w:cs="ArialMT"/>
          <w:color w:val="231F20"/>
        </w:rPr>
        <w:t xml:space="preserve">commercial and residential </w:t>
      </w:r>
      <w:r w:rsidRPr="00D22702">
        <w:rPr>
          <w:rFonts w:cs="ArialMT"/>
          <w:color w:val="231F20"/>
        </w:rPr>
        <w:t xml:space="preserve">2015 </w:t>
      </w:r>
      <w:r w:rsidR="0012385E">
        <w:rPr>
          <w:rFonts w:cs="ArialMT"/>
          <w:color w:val="231F20"/>
        </w:rPr>
        <w:t>International Energy Conservation Code (</w:t>
      </w:r>
      <w:r w:rsidRPr="00D22702">
        <w:rPr>
          <w:rFonts w:cs="ArialMT"/>
          <w:color w:val="231F20"/>
        </w:rPr>
        <w:t>IECC</w:t>
      </w:r>
      <w:r w:rsidR="0012385E">
        <w:rPr>
          <w:rFonts w:cs="ArialMT"/>
          <w:color w:val="231F20"/>
        </w:rPr>
        <w:t>)</w:t>
      </w:r>
      <w:r w:rsidRPr="00D22702">
        <w:rPr>
          <w:rFonts w:cs="ArialMT"/>
          <w:color w:val="231F20"/>
        </w:rPr>
        <w:t>, including the numerous residential amendments adopted through</w:t>
      </w:r>
      <w:r w:rsidR="0012385E">
        <w:rPr>
          <w:rFonts w:cs="ArialMT"/>
          <w:color w:val="231F20"/>
        </w:rPr>
        <w:t xml:space="preserve"> Utah State</w:t>
      </w:r>
      <w:r w:rsidRPr="00D22702">
        <w:rPr>
          <w:rFonts w:cs="ArialMT"/>
          <w:color w:val="231F20"/>
        </w:rPr>
        <w:t xml:space="preserve"> House Bill 316 during the recent 2016 legislative session. The course includes a discussion regarding frequent questions and challenges encountered in meeting the requirements of the IECC. </w:t>
      </w:r>
    </w:p>
    <w:p w:rsidR="0012385E" w:rsidRDefault="0012385E" w:rsidP="00D22702">
      <w:pPr>
        <w:autoSpaceDE w:val="0"/>
        <w:autoSpaceDN w:val="0"/>
        <w:adjustRightInd w:val="0"/>
        <w:spacing w:after="0"/>
        <w:rPr>
          <w:rFonts w:cs="ArialMT"/>
          <w:color w:val="231F20"/>
        </w:rPr>
      </w:pPr>
    </w:p>
    <w:p w:rsidR="00336351" w:rsidRDefault="00D22702" w:rsidP="00D22702">
      <w:p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D22702">
        <w:rPr>
          <w:rFonts w:cs="ArialMT"/>
          <w:color w:val="231F20"/>
        </w:rPr>
        <w:t xml:space="preserve">Specific areas of discussion include: </w:t>
      </w:r>
    </w:p>
    <w:p w:rsidR="0012385E" w:rsidRDefault="0012385E" w:rsidP="0012385E">
      <w:pPr>
        <w:pStyle w:val="ListParagraph"/>
        <w:autoSpaceDE w:val="0"/>
        <w:autoSpaceDN w:val="0"/>
        <w:adjustRightInd w:val="0"/>
        <w:spacing w:after="0"/>
        <w:ind w:left="360"/>
        <w:rPr>
          <w:rFonts w:cs="ArialMT"/>
          <w:color w:val="231F20"/>
        </w:rPr>
      </w:pPr>
    </w:p>
    <w:p w:rsidR="00336351" w:rsidRP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2015 IECC major changes</w:t>
      </w:r>
    </w:p>
    <w:p w:rsidR="00336351" w:rsidRDefault="00336351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>
        <w:rPr>
          <w:rFonts w:cs="ArialMT"/>
          <w:color w:val="231F20"/>
        </w:rPr>
        <w:t>I</w:t>
      </w:r>
      <w:r w:rsidR="00D22702" w:rsidRPr="00336351">
        <w:rPr>
          <w:rFonts w:cs="ArialMT"/>
          <w:color w:val="231F20"/>
        </w:rPr>
        <w:t>ncreased Envelope Leakage Visual Inspe</w:t>
      </w:r>
      <w:r w:rsidR="0012385E">
        <w:rPr>
          <w:rFonts w:cs="ArialMT"/>
          <w:color w:val="231F20"/>
        </w:rPr>
        <w:t>ction and Testing requirements</w:t>
      </w:r>
    </w:p>
    <w:p w:rsidR="00336351" w:rsidRDefault="00336351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>
        <w:rPr>
          <w:rFonts w:cs="ArialMT"/>
          <w:color w:val="231F20"/>
        </w:rPr>
        <w:t>D</w:t>
      </w:r>
      <w:r w:rsidR="00D22702" w:rsidRPr="00336351">
        <w:rPr>
          <w:rFonts w:cs="ArialMT"/>
          <w:color w:val="231F20"/>
        </w:rPr>
        <w:t>efinition of a residential or commercial building in the IECC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Climate zones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State amendments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 xml:space="preserve">Compliance options (prescriptive, trade off, </w:t>
      </w:r>
      <w:r w:rsidR="0012385E">
        <w:rPr>
          <w:rFonts w:cs="ArialMT"/>
          <w:color w:val="231F20"/>
        </w:rPr>
        <w:t xml:space="preserve">and the two new options for </w:t>
      </w:r>
      <w:r w:rsidRPr="00336351">
        <w:rPr>
          <w:rFonts w:cs="ArialMT"/>
          <w:color w:val="231F20"/>
        </w:rPr>
        <w:t>performance</w:t>
      </w:r>
      <w:r w:rsidR="0012385E">
        <w:rPr>
          <w:rFonts w:cs="ArialMT"/>
          <w:color w:val="231F20"/>
        </w:rPr>
        <w:t xml:space="preserve"> and </w:t>
      </w:r>
      <w:r w:rsidRPr="00336351">
        <w:rPr>
          <w:rFonts w:cs="ArialMT"/>
          <w:color w:val="231F20"/>
        </w:rPr>
        <w:t xml:space="preserve"> ERI/HER rating)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Building thermal envelope (insulation, windows and doors, air leakage)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Mechanical systems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Commissioning</w:t>
      </w:r>
    </w:p>
    <w:p w:rsidR="00336351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>Renewable energy</w:t>
      </w:r>
    </w:p>
    <w:p w:rsidR="00870807" w:rsidRDefault="00D22702" w:rsidP="0033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336351">
        <w:rPr>
          <w:rFonts w:cs="ArialMT"/>
          <w:color w:val="231F20"/>
        </w:rPr>
        <w:t xml:space="preserve">Lighting </w:t>
      </w:r>
    </w:p>
    <w:p w:rsidR="00BB1B45" w:rsidRDefault="00BB1B45" w:rsidP="00BB1B45">
      <w:pPr>
        <w:autoSpaceDE w:val="0"/>
        <w:autoSpaceDN w:val="0"/>
        <w:adjustRightInd w:val="0"/>
        <w:spacing w:after="0"/>
        <w:rPr>
          <w:rFonts w:cs="ArialMT"/>
          <w:color w:val="231F20"/>
        </w:rPr>
      </w:pPr>
    </w:p>
    <w:p w:rsidR="006A59C2" w:rsidRPr="006A59C2" w:rsidRDefault="006A59C2" w:rsidP="006A59C2">
      <w:pPr>
        <w:autoSpaceDE w:val="0"/>
        <w:autoSpaceDN w:val="0"/>
        <w:adjustRightInd w:val="0"/>
        <w:spacing w:after="0"/>
        <w:rPr>
          <w:rFonts w:cs="ArialMT"/>
          <w:color w:val="231F20"/>
        </w:rPr>
      </w:pPr>
      <w:r w:rsidRPr="006A59C2">
        <w:rPr>
          <w:rFonts w:cs="ArialMT"/>
          <w:color w:val="231F20"/>
        </w:rPr>
        <w:t>This course will be an open format, where discussion is encouraged; questions and comments are welcome.</w:t>
      </w:r>
      <w:bookmarkStart w:id="0" w:name="_GoBack"/>
      <w:bookmarkEnd w:id="0"/>
    </w:p>
    <w:sectPr w:rsidR="006A59C2" w:rsidRPr="006A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882"/>
    <w:multiLevelType w:val="hybridMultilevel"/>
    <w:tmpl w:val="2D22B658"/>
    <w:lvl w:ilvl="0" w:tplc="C03EC4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2"/>
    <w:rsid w:val="0012385E"/>
    <w:rsid w:val="00321144"/>
    <w:rsid w:val="00336351"/>
    <w:rsid w:val="005C1F89"/>
    <w:rsid w:val="00674466"/>
    <w:rsid w:val="006A59C2"/>
    <w:rsid w:val="007F76E7"/>
    <w:rsid w:val="00BB1B45"/>
    <w:rsid w:val="00D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Ursenbach</dc:creator>
  <cp:lastModifiedBy>Mona Pompili</cp:lastModifiedBy>
  <cp:revision>6</cp:revision>
  <dcterms:created xsi:type="dcterms:W3CDTF">2016-05-03T15:46:00Z</dcterms:created>
  <dcterms:modified xsi:type="dcterms:W3CDTF">2016-05-03T16:04:00Z</dcterms:modified>
</cp:coreProperties>
</file>