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88" w:rsidRDefault="00194A88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Cs/>
          <w:szCs w:val="24"/>
        </w:rPr>
      </w:pPr>
      <w:r w:rsidRPr="006976DB">
        <w:rPr>
          <w:rFonts w:eastAsia="Times New Roman" w:cs="Times New Roman"/>
          <w:b/>
          <w:bCs/>
          <w:szCs w:val="24"/>
        </w:rPr>
        <w:t>Class:</w:t>
      </w:r>
      <w:r w:rsidRPr="006976DB">
        <w:rPr>
          <w:rFonts w:eastAsia="Times New Roman" w:cs="Times New Roman"/>
          <w:bCs/>
          <w:szCs w:val="24"/>
        </w:rPr>
        <w:t xml:space="preserve"> </w:t>
      </w:r>
      <w:r w:rsidR="00B37E7B" w:rsidRPr="006976DB">
        <w:rPr>
          <w:rFonts w:eastAsia="Times New Roman" w:cs="Times New Roman"/>
          <w:bCs/>
          <w:szCs w:val="24"/>
        </w:rPr>
        <w:tab/>
      </w:r>
      <w:r w:rsidR="00C838B2" w:rsidRPr="00E14F23">
        <w:rPr>
          <w:rFonts w:eastAsia="Times New Roman" w:cs="Times New Roman"/>
          <w:bCs/>
          <w:sz w:val="32"/>
          <w:szCs w:val="24"/>
        </w:rPr>
        <w:t>201</w:t>
      </w:r>
      <w:r w:rsidR="00995DE8">
        <w:rPr>
          <w:rFonts w:eastAsia="Times New Roman" w:cs="Times New Roman"/>
          <w:bCs/>
          <w:sz w:val="32"/>
          <w:szCs w:val="24"/>
        </w:rPr>
        <w:t>7</w:t>
      </w:r>
      <w:r w:rsidR="00C838B2" w:rsidRPr="00E14F23">
        <w:rPr>
          <w:rFonts w:eastAsia="Times New Roman" w:cs="Times New Roman"/>
          <w:bCs/>
          <w:sz w:val="32"/>
          <w:szCs w:val="24"/>
        </w:rPr>
        <w:t xml:space="preserve"> National Electrical Code</w:t>
      </w:r>
      <w:r w:rsidR="00C838B2" w:rsidRPr="00E14F23">
        <w:rPr>
          <w:rFonts w:eastAsia="Times New Roman" w:cs="Times New Roman"/>
          <w:bCs/>
          <w:sz w:val="32"/>
          <w:szCs w:val="24"/>
          <w:vertAlign w:val="superscript"/>
        </w:rPr>
        <w:t>®</w:t>
      </w:r>
    </w:p>
    <w:p w:rsidR="004B5F04" w:rsidRDefault="008E11FF" w:rsidP="00904CDE">
      <w:pPr>
        <w:pStyle w:val="SgBody"/>
        <w:spacing w:line="276" w:lineRule="auto"/>
        <w:ind w:left="2160" w:hanging="2160"/>
        <w:contextualSpacing/>
        <w:rPr>
          <w:rFonts w:eastAsia="Times New Roman"/>
          <w:bCs/>
        </w:rPr>
      </w:pPr>
      <w:r w:rsidRPr="00277623">
        <w:rPr>
          <w:rFonts w:eastAsia="Times New Roman"/>
          <w:b/>
          <w:bCs/>
        </w:rPr>
        <w:t>Description:</w:t>
      </w:r>
      <w:r>
        <w:rPr>
          <w:rFonts w:eastAsia="Times New Roman"/>
          <w:bCs/>
        </w:rPr>
        <w:tab/>
      </w:r>
    </w:p>
    <w:p w:rsidR="00904CDE" w:rsidRDefault="00904CDE" w:rsidP="00904CDE">
      <w:pPr>
        <w:pStyle w:val="SgBody"/>
        <w:spacing w:line="276" w:lineRule="auto"/>
        <w:ind w:left="2160" w:hanging="2160"/>
        <w:contextualSpacing/>
        <w:rPr>
          <w:rFonts w:eastAsia="Times New Roman"/>
          <w:bCs/>
        </w:rPr>
      </w:pPr>
    </w:p>
    <w:p w:rsidR="00904CDE" w:rsidRDefault="00904CDE" w:rsidP="00904CDE">
      <w:pPr>
        <w:pStyle w:val="SgBody"/>
        <w:spacing w:line="276" w:lineRule="auto"/>
        <w:contextualSpacing/>
      </w:pPr>
      <w:r>
        <w:tab/>
      </w:r>
      <w:r w:rsidR="008E11FF" w:rsidRPr="00194A88">
        <w:t>The purpose of this training is to help elec</w:t>
      </w:r>
      <w:r w:rsidR="00C838B2">
        <w:t xml:space="preserve">tricians understand the </w:t>
      </w:r>
      <w:r w:rsidR="004B5F04">
        <w:t xml:space="preserve">most recent version of the </w:t>
      </w:r>
      <w:r w:rsidR="00C838B2">
        <w:t xml:space="preserve">National Electrical </w:t>
      </w:r>
      <w:r w:rsidR="008E11FF" w:rsidRPr="00194A88">
        <w:t>Code</w:t>
      </w:r>
      <w:r w:rsidR="008E11FF" w:rsidRPr="00194A88">
        <w:rPr>
          <w:vertAlign w:val="superscript"/>
        </w:rPr>
        <w:t>®</w:t>
      </w:r>
      <w:r w:rsidR="008E11FF" w:rsidRPr="00194A88">
        <w:t xml:space="preserve"> </w:t>
      </w:r>
      <w:r w:rsidR="00C838B2">
        <w:t>(201</w:t>
      </w:r>
      <w:r w:rsidR="00995DE8">
        <w:t>7</w:t>
      </w:r>
      <w:r w:rsidR="00C838B2">
        <w:t>)</w:t>
      </w:r>
      <w:r w:rsidR="00C838B2" w:rsidRPr="00194A88">
        <w:t xml:space="preserve"> </w:t>
      </w:r>
      <w:r w:rsidR="00C838B2">
        <w:t>and introduce</w:t>
      </w:r>
      <w:r w:rsidR="008E11FF" w:rsidRPr="00194A88">
        <w:t xml:space="preserve"> non-electrical personnel </w:t>
      </w:r>
      <w:r w:rsidR="00C838B2">
        <w:t xml:space="preserve">to the </w:t>
      </w:r>
      <w:r w:rsidR="004B5F04">
        <w:t>code book</w:t>
      </w:r>
      <w:r w:rsidR="00C838B2">
        <w:t xml:space="preserve"> </w:t>
      </w:r>
      <w:r w:rsidR="008E11FF" w:rsidRPr="00194A88">
        <w:t>with a</w:t>
      </w:r>
      <w:r w:rsidR="004B5F04">
        <w:t>n</w:t>
      </w:r>
      <w:r w:rsidR="008E11FF" w:rsidRPr="00194A88">
        <w:t xml:space="preserve"> </w:t>
      </w:r>
      <w:r w:rsidR="004B5F04">
        <w:t>in-depth, practical introduction. T</w:t>
      </w:r>
      <w:r w:rsidR="00C838B2">
        <w:t>he</w:t>
      </w:r>
      <w:r w:rsidR="008E11FF" w:rsidRPr="00194A88">
        <w:t xml:space="preserve"> NEC</w:t>
      </w:r>
      <w:r w:rsidR="008E11FF" w:rsidRPr="00194A88">
        <w:rPr>
          <w:vertAlign w:val="superscript"/>
        </w:rPr>
        <w:t>®</w:t>
      </w:r>
      <w:r w:rsidR="008E11FF" w:rsidRPr="00194A88">
        <w:t xml:space="preserve"> </w:t>
      </w:r>
      <w:r w:rsidR="00C838B2">
        <w:t xml:space="preserve">is the most widely used installation and construction code in the world, and anyone who handles electrical systems should understand it. This </w:t>
      </w:r>
      <w:r w:rsidR="008E11FF" w:rsidRPr="00194A88">
        <w:t xml:space="preserve">class will </w:t>
      </w:r>
      <w:r w:rsidR="00C838B2">
        <w:t>give</w:t>
      </w:r>
      <w:r w:rsidR="008E11FF" w:rsidRPr="00194A88">
        <w:t xml:space="preserve"> </w:t>
      </w:r>
      <w:r w:rsidR="008E11FF">
        <w:t>students</w:t>
      </w:r>
      <w:r w:rsidR="008E11FF" w:rsidRPr="00194A88">
        <w:t xml:space="preserve"> a thorough understanding of the National Electrical Code</w:t>
      </w:r>
      <w:r w:rsidR="008E11FF" w:rsidRPr="00194A88">
        <w:rPr>
          <w:vertAlign w:val="superscript"/>
        </w:rPr>
        <w:t>®</w:t>
      </w:r>
      <w:r w:rsidR="008E11FF" w:rsidRPr="00194A88">
        <w:t xml:space="preserve">, and most importantly, how it is applied to </w:t>
      </w:r>
      <w:r w:rsidR="008E11FF">
        <w:t>a</w:t>
      </w:r>
      <w:r w:rsidR="008E11FF" w:rsidRPr="00194A88">
        <w:t xml:space="preserve"> specific site or facility</w:t>
      </w:r>
      <w:r w:rsidR="00C838B2">
        <w:t xml:space="preserve"> so that they can install and maintain electrical systems properly</w:t>
      </w:r>
      <w:r w:rsidR="008E11FF" w:rsidRPr="00194A88">
        <w:t xml:space="preserve">. </w:t>
      </w:r>
    </w:p>
    <w:p w:rsidR="00904CDE" w:rsidRDefault="00904CDE" w:rsidP="00904CDE">
      <w:pPr>
        <w:pStyle w:val="SgBody"/>
        <w:spacing w:line="276" w:lineRule="auto"/>
        <w:contextualSpacing/>
        <w:rPr>
          <w:rFonts w:eastAsia="Times New Roman"/>
          <w:b/>
          <w:bCs/>
        </w:rPr>
      </w:pPr>
    </w:p>
    <w:p w:rsidR="006976DB" w:rsidRPr="006976DB" w:rsidRDefault="008E11FF" w:rsidP="00904CDE">
      <w:pPr>
        <w:pStyle w:val="SgBody"/>
        <w:spacing w:line="276" w:lineRule="auto"/>
        <w:contextualSpacing/>
        <w:rPr>
          <w:rFonts w:eastAsia="Times New Roman"/>
          <w:bCs/>
        </w:rPr>
      </w:pPr>
      <w:r>
        <w:rPr>
          <w:rFonts w:eastAsia="Times New Roman"/>
          <w:b/>
          <w:bCs/>
        </w:rPr>
        <w:t>Presentation</w:t>
      </w:r>
      <w:r w:rsidR="006976DB" w:rsidRPr="006976DB">
        <w:rPr>
          <w:rFonts w:eastAsia="Times New Roman"/>
          <w:b/>
          <w:bCs/>
        </w:rPr>
        <w:t>:</w:t>
      </w:r>
      <w:r w:rsidR="006976DB" w:rsidRPr="006976DB">
        <w:rPr>
          <w:rFonts w:eastAsia="Times New Roman"/>
          <w:bCs/>
        </w:rPr>
        <w:tab/>
      </w:r>
      <w:r w:rsidR="00904CDE">
        <w:rPr>
          <w:rFonts w:eastAsia="Times New Roman"/>
          <w:bCs/>
        </w:rPr>
        <w:tab/>
      </w:r>
      <w:r w:rsidR="00D5426D">
        <w:rPr>
          <w:rFonts w:eastAsia="Times New Roman"/>
          <w:bCs/>
        </w:rPr>
        <w:t>Classroom</w:t>
      </w:r>
      <w:r w:rsidR="004B5F04">
        <w:rPr>
          <w:rFonts w:eastAsia="Times New Roman"/>
          <w:bCs/>
        </w:rPr>
        <w:t xml:space="preserve"> - </w:t>
      </w:r>
      <w:r w:rsidR="00D5426D">
        <w:rPr>
          <w:rFonts w:eastAsia="Times New Roman"/>
          <w:bCs/>
        </w:rPr>
        <w:t>lecture and demonstration</w:t>
      </w:r>
    </w:p>
    <w:p w:rsidR="00194A88" w:rsidRDefault="00194A88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Cs/>
          <w:szCs w:val="24"/>
        </w:rPr>
      </w:pPr>
      <w:r w:rsidRPr="006976DB">
        <w:rPr>
          <w:rFonts w:eastAsia="Times New Roman" w:cs="Times New Roman"/>
          <w:b/>
          <w:bCs/>
          <w:szCs w:val="24"/>
        </w:rPr>
        <w:t>Anticipated size:</w:t>
      </w:r>
      <w:r w:rsidRPr="006976DB">
        <w:rPr>
          <w:rFonts w:eastAsia="Times New Roman" w:cs="Times New Roman"/>
          <w:bCs/>
          <w:szCs w:val="24"/>
        </w:rPr>
        <w:t xml:space="preserve"> </w:t>
      </w:r>
      <w:r w:rsidR="006976DB" w:rsidRPr="006976DB">
        <w:rPr>
          <w:rFonts w:eastAsia="Times New Roman" w:cs="Times New Roman"/>
          <w:bCs/>
          <w:szCs w:val="24"/>
        </w:rPr>
        <w:tab/>
      </w:r>
      <w:r w:rsidR="00995D38">
        <w:rPr>
          <w:rFonts w:eastAsia="Times New Roman" w:cs="Times New Roman"/>
          <w:bCs/>
          <w:szCs w:val="24"/>
        </w:rPr>
        <w:t>Maximum 20</w:t>
      </w:r>
    </w:p>
    <w:p w:rsidR="00904CDE" w:rsidRDefault="00904CDE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Cs/>
          <w:szCs w:val="24"/>
        </w:rPr>
      </w:pPr>
    </w:p>
    <w:p w:rsidR="005713F2" w:rsidRDefault="005713F2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Cs/>
          <w:szCs w:val="24"/>
        </w:rPr>
      </w:pPr>
      <w:r w:rsidRPr="005713F2">
        <w:rPr>
          <w:rFonts w:eastAsia="Times New Roman" w:cs="Times New Roman"/>
          <w:b/>
          <w:bCs/>
          <w:szCs w:val="24"/>
        </w:rPr>
        <w:t>Proposed Hours:</w:t>
      </w:r>
      <w:r>
        <w:rPr>
          <w:rFonts w:eastAsia="Times New Roman" w:cs="Times New Roman"/>
          <w:bCs/>
          <w:szCs w:val="24"/>
        </w:rPr>
        <w:tab/>
      </w:r>
      <w:r w:rsidR="008E1975">
        <w:rPr>
          <w:rFonts w:eastAsia="Times New Roman" w:cs="Times New Roman"/>
          <w:bCs/>
          <w:szCs w:val="24"/>
        </w:rPr>
        <w:t>16</w:t>
      </w:r>
    </w:p>
    <w:p w:rsidR="00904CDE" w:rsidRDefault="00904CDE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Cs/>
          <w:szCs w:val="24"/>
        </w:rPr>
      </w:pPr>
    </w:p>
    <w:p w:rsidR="008E11FF" w:rsidRDefault="004B5F04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Attendance Verification</w:t>
      </w:r>
      <w:r w:rsidR="008E11FF" w:rsidRPr="00277623">
        <w:rPr>
          <w:rFonts w:eastAsia="Times New Roman" w:cs="Times New Roman"/>
          <w:b/>
          <w:bCs/>
          <w:szCs w:val="24"/>
        </w:rPr>
        <w:t>:</w:t>
      </w:r>
    </w:p>
    <w:p w:rsidR="00904CDE" w:rsidRPr="00277623" w:rsidRDefault="00904CDE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</w:rPr>
      </w:pPr>
    </w:p>
    <w:p w:rsidR="004B5F04" w:rsidRDefault="008E11FF" w:rsidP="00904CDE">
      <w:pPr>
        <w:contextualSpacing/>
        <w:rPr>
          <w:rFonts w:cs="Times New Roman"/>
          <w:szCs w:val="24"/>
        </w:rPr>
      </w:pPr>
      <w:r>
        <w:tab/>
      </w:r>
      <w:r w:rsidR="004B5F04" w:rsidRPr="00922C3F">
        <w:rPr>
          <w:rFonts w:cs="Times New Roman"/>
          <w:szCs w:val="24"/>
        </w:rPr>
        <w:t>All students must sign in both days</w:t>
      </w:r>
      <w:r w:rsidR="004B5F04">
        <w:rPr>
          <w:rFonts w:cs="Times New Roman"/>
          <w:szCs w:val="24"/>
        </w:rPr>
        <w:t>,</w:t>
      </w:r>
      <w:r w:rsidR="004B5F04" w:rsidRPr="00922C3F">
        <w:rPr>
          <w:rFonts w:cs="Times New Roman"/>
          <w:szCs w:val="24"/>
        </w:rPr>
        <w:t xml:space="preserve"> provide their I</w:t>
      </w:r>
      <w:r w:rsidR="004B5F04">
        <w:rPr>
          <w:rFonts w:cs="Times New Roman"/>
          <w:szCs w:val="24"/>
        </w:rPr>
        <w:t xml:space="preserve">D </w:t>
      </w:r>
      <w:r w:rsidR="004B5F04" w:rsidRPr="00922C3F">
        <w:rPr>
          <w:rFonts w:cs="Times New Roman"/>
          <w:szCs w:val="24"/>
        </w:rPr>
        <w:t>card</w:t>
      </w:r>
      <w:r w:rsidR="004B5F04">
        <w:rPr>
          <w:rFonts w:cs="Times New Roman"/>
          <w:szCs w:val="24"/>
        </w:rPr>
        <w:t>,</w:t>
      </w:r>
      <w:r w:rsidR="004B5F04" w:rsidRPr="00922C3F">
        <w:rPr>
          <w:rFonts w:cs="Times New Roman"/>
          <w:szCs w:val="24"/>
        </w:rPr>
        <w:t xml:space="preserve"> and note </w:t>
      </w:r>
      <w:r w:rsidR="004B5F04">
        <w:rPr>
          <w:rFonts w:cs="Times New Roman"/>
          <w:szCs w:val="24"/>
        </w:rPr>
        <w:t xml:space="preserve">their </w:t>
      </w:r>
      <w:r w:rsidR="008E75BB">
        <w:rPr>
          <w:rFonts w:cs="Times New Roman"/>
          <w:szCs w:val="24"/>
        </w:rPr>
        <w:t xml:space="preserve">state </w:t>
      </w:r>
      <w:r w:rsidR="004B5F04">
        <w:rPr>
          <w:rFonts w:cs="Times New Roman"/>
          <w:szCs w:val="24"/>
        </w:rPr>
        <w:t>license</w:t>
      </w:r>
      <w:r w:rsidR="004B5F04" w:rsidRPr="00922C3F">
        <w:rPr>
          <w:rFonts w:cs="Times New Roman"/>
          <w:szCs w:val="24"/>
        </w:rPr>
        <w:t xml:space="preserve"> number on the sign-in sheet</w:t>
      </w:r>
      <w:r w:rsidR="004B5F04">
        <w:rPr>
          <w:rFonts w:cs="Times New Roman"/>
          <w:szCs w:val="24"/>
        </w:rPr>
        <w:t xml:space="preserve"> to apply for Continuing Education Units</w:t>
      </w:r>
      <w:r w:rsidR="008E75BB">
        <w:rPr>
          <w:rFonts w:cs="Times New Roman"/>
          <w:szCs w:val="24"/>
        </w:rPr>
        <w:t xml:space="preserve"> in their state</w:t>
      </w:r>
      <w:r w:rsidR="004B5F04" w:rsidRPr="00922C3F">
        <w:rPr>
          <w:rFonts w:cs="Times New Roman"/>
          <w:szCs w:val="24"/>
        </w:rPr>
        <w:t xml:space="preserve">. The rosters are kept on file </w:t>
      </w:r>
      <w:r w:rsidR="004B5F04">
        <w:rPr>
          <w:rFonts w:cs="Times New Roman"/>
          <w:szCs w:val="24"/>
        </w:rPr>
        <w:t xml:space="preserve">for three years </w:t>
      </w:r>
      <w:r w:rsidR="004B5F04" w:rsidRPr="00922C3F">
        <w:rPr>
          <w:rFonts w:cs="Times New Roman"/>
          <w:szCs w:val="24"/>
        </w:rPr>
        <w:t xml:space="preserve">at </w:t>
      </w:r>
      <w:r w:rsidR="00995DE8">
        <w:rPr>
          <w:rFonts w:cs="Times New Roman"/>
          <w:szCs w:val="24"/>
        </w:rPr>
        <w:t>TPC</w:t>
      </w:r>
      <w:r w:rsidR="004B5F04" w:rsidRPr="00922C3F">
        <w:rPr>
          <w:rFonts w:cs="Times New Roman"/>
          <w:szCs w:val="24"/>
        </w:rPr>
        <w:t xml:space="preserve"> Trainco </w:t>
      </w:r>
      <w:r w:rsidR="004B5F04">
        <w:rPr>
          <w:rFonts w:cs="Times New Roman"/>
          <w:szCs w:val="24"/>
        </w:rPr>
        <w:t xml:space="preserve">headquarters </w:t>
      </w:r>
      <w:r w:rsidR="004B5F04" w:rsidRPr="00922C3F">
        <w:rPr>
          <w:rFonts w:cs="Times New Roman"/>
          <w:szCs w:val="24"/>
        </w:rPr>
        <w:t>and</w:t>
      </w:r>
      <w:r w:rsidR="004B5F04">
        <w:rPr>
          <w:rFonts w:cs="Times New Roman"/>
          <w:szCs w:val="24"/>
        </w:rPr>
        <w:t xml:space="preserve"> will be</w:t>
      </w:r>
      <w:r w:rsidR="004B5F04" w:rsidRPr="00922C3F">
        <w:rPr>
          <w:rFonts w:cs="Times New Roman"/>
          <w:szCs w:val="24"/>
        </w:rPr>
        <w:t xml:space="preserve"> submitted</w:t>
      </w:r>
      <w:r w:rsidR="008E75BB">
        <w:rPr>
          <w:rFonts w:cs="Times New Roman"/>
          <w:szCs w:val="24"/>
        </w:rPr>
        <w:t xml:space="preserve"> in accordance with the state’s requirements</w:t>
      </w:r>
      <w:r w:rsidR="004B5F04">
        <w:rPr>
          <w:rFonts w:cs="Times New Roman"/>
          <w:szCs w:val="24"/>
        </w:rPr>
        <w:t xml:space="preserve">. </w:t>
      </w:r>
    </w:p>
    <w:p w:rsidR="00904CDE" w:rsidRPr="00922C3F" w:rsidRDefault="00904CDE" w:rsidP="00904CDE">
      <w:pPr>
        <w:contextualSpacing/>
        <w:rPr>
          <w:rFonts w:cs="Times New Roman"/>
          <w:szCs w:val="24"/>
        </w:rPr>
      </w:pPr>
    </w:p>
    <w:p w:rsidR="0050625C" w:rsidRDefault="0050625C" w:rsidP="00904CDE">
      <w:pPr>
        <w:tabs>
          <w:tab w:val="left" w:pos="2160"/>
        </w:tabs>
        <w:spacing w:before="100" w:beforeAutospacing="1" w:after="0"/>
        <w:ind w:left="2160" w:hanging="2160"/>
        <w:contextualSpacing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Participant Evaluation:</w:t>
      </w:r>
      <w:r w:rsidR="008E11FF">
        <w:rPr>
          <w:rFonts w:cs="Times New Roman"/>
          <w:szCs w:val="24"/>
        </w:rPr>
        <w:tab/>
      </w:r>
    </w:p>
    <w:p w:rsidR="00904CDE" w:rsidRDefault="00904CDE" w:rsidP="00904CDE">
      <w:pPr>
        <w:tabs>
          <w:tab w:val="left" w:pos="2160"/>
        </w:tabs>
        <w:spacing w:before="100" w:beforeAutospacing="1" w:after="0"/>
        <w:ind w:left="2160" w:hanging="2160"/>
        <w:contextualSpacing/>
        <w:rPr>
          <w:rFonts w:cs="Times New Roman"/>
          <w:szCs w:val="24"/>
        </w:rPr>
      </w:pPr>
    </w:p>
    <w:p w:rsidR="00E14F23" w:rsidRPr="00E14F23" w:rsidRDefault="00E14F23" w:rsidP="00904CDE">
      <w:pPr>
        <w:pStyle w:val="SgBody"/>
        <w:tabs>
          <w:tab w:val="left" w:pos="720"/>
        </w:tabs>
        <w:spacing w:after="0" w:line="276" w:lineRule="auto"/>
        <w:contextualSpacing/>
      </w:pPr>
      <w:r>
        <w:tab/>
      </w:r>
      <w:r w:rsidRPr="008D18BB">
        <w:t>A proctored exam is not re</w:t>
      </w:r>
      <w:r>
        <w:t>quired to complete this class</w:t>
      </w:r>
      <w:r w:rsidRPr="008D18BB">
        <w:t xml:space="preserve">, although the option of an online </w:t>
      </w:r>
      <w:r w:rsidRPr="00E14F23">
        <w:t>or paper mail-in exam is available at the student’s request</w:t>
      </w:r>
      <w:r>
        <w:t xml:space="preserve"> after successful completion</w:t>
      </w:r>
      <w:r w:rsidRPr="00E14F23">
        <w:t>. The students</w:t>
      </w:r>
      <w:r>
        <w:t xml:space="preserve"> will</w:t>
      </w:r>
      <w:r w:rsidRPr="00E14F23">
        <w:t xml:space="preserve"> receive a three</w:t>
      </w:r>
      <w:r w:rsidR="00CA2F14">
        <w:t xml:space="preserve"> </w:t>
      </w:r>
      <w:r w:rsidRPr="00E14F23">
        <w:t>star certificate of completion at the end of the course</w:t>
      </w:r>
      <w:r>
        <w:t>. If they choose to take the exam, they will</w:t>
      </w:r>
      <w:r w:rsidRPr="00E14F23">
        <w:t xml:space="preserve"> receive a</w:t>
      </w:r>
      <w:r>
        <w:t>n additional</w:t>
      </w:r>
      <w:r w:rsidRPr="00E14F23">
        <w:t xml:space="preserve"> four or five</w:t>
      </w:r>
      <w:r w:rsidR="00CA2F14">
        <w:t xml:space="preserve"> </w:t>
      </w:r>
      <w:r w:rsidRPr="00E14F23">
        <w:t>star certificate after passing the exam</w:t>
      </w:r>
      <w:r>
        <w:t>;</w:t>
      </w:r>
      <w:r w:rsidRPr="00E14F23">
        <w:t xml:space="preserve"> four if they choose to take it online and five if they choose to get it proctored. </w:t>
      </w:r>
    </w:p>
    <w:p w:rsidR="000F625F" w:rsidRDefault="000F625F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</w:rPr>
      </w:pPr>
      <w:r w:rsidRPr="000F625F">
        <w:rPr>
          <w:rFonts w:eastAsia="Times New Roman" w:cs="Times New Roman"/>
          <w:b/>
          <w:bCs/>
          <w:szCs w:val="24"/>
        </w:rPr>
        <w:t>Fees:</w:t>
      </w:r>
      <w:r>
        <w:rPr>
          <w:rFonts w:eastAsia="Times New Roman" w:cs="Times New Roman"/>
          <w:bCs/>
          <w:szCs w:val="24"/>
        </w:rPr>
        <w:tab/>
        <w:t>$</w:t>
      </w:r>
      <w:r w:rsidR="00995DE8">
        <w:rPr>
          <w:rFonts w:eastAsia="Times New Roman" w:cs="Times New Roman"/>
          <w:bCs/>
          <w:szCs w:val="24"/>
        </w:rPr>
        <w:t>110</w:t>
      </w:r>
      <w:r>
        <w:rPr>
          <w:rFonts w:eastAsia="Times New Roman" w:cs="Times New Roman"/>
          <w:bCs/>
          <w:szCs w:val="24"/>
        </w:rPr>
        <w:t>0 for 2 days, all materials included</w:t>
      </w:r>
      <w:r w:rsidRPr="006976DB">
        <w:rPr>
          <w:rFonts w:eastAsia="Times New Roman" w:cs="Times New Roman"/>
          <w:b/>
          <w:bCs/>
          <w:szCs w:val="24"/>
        </w:rPr>
        <w:t xml:space="preserve"> </w:t>
      </w:r>
    </w:p>
    <w:p w:rsidR="008E1975" w:rsidRDefault="008E1975" w:rsidP="00904CDE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</w:rPr>
      </w:pPr>
    </w:p>
    <w:p w:rsidR="00194A88" w:rsidRPr="008E1975" w:rsidRDefault="00995DE8" w:rsidP="008E1975">
      <w:pPr>
        <w:tabs>
          <w:tab w:val="left" w:pos="2160"/>
        </w:tabs>
        <w:spacing w:before="100" w:beforeAutospacing="1" w:after="100" w:afterAutospacing="1" w:line="360" w:lineRule="auto"/>
        <w:contextualSpacing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Material</w:t>
      </w:r>
      <w:r w:rsidR="00194A88" w:rsidRPr="006976DB">
        <w:rPr>
          <w:rFonts w:eastAsia="Times New Roman" w:cs="Times New Roman"/>
          <w:b/>
          <w:bCs/>
          <w:szCs w:val="24"/>
        </w:rPr>
        <w:t>s</w:t>
      </w:r>
      <w:r w:rsidR="00277623">
        <w:rPr>
          <w:rFonts w:eastAsia="Times New Roman" w:cs="Times New Roman"/>
          <w:b/>
          <w:bCs/>
          <w:szCs w:val="24"/>
        </w:rPr>
        <w:t>:</w:t>
      </w:r>
      <w:r w:rsidR="008E1975">
        <w:rPr>
          <w:rFonts w:eastAsia="Times New Roman" w:cs="Times New Roman"/>
          <w:b/>
          <w:bCs/>
          <w:szCs w:val="24"/>
        </w:rPr>
        <w:tab/>
      </w:r>
      <w:r w:rsidR="004B5F04">
        <w:rPr>
          <w:rFonts w:eastAsia="Times New Roman" w:cs="Times New Roman"/>
          <w:bCs/>
          <w:szCs w:val="24"/>
        </w:rPr>
        <w:t>NEC 201</w:t>
      </w:r>
      <w:r>
        <w:rPr>
          <w:rFonts w:eastAsia="Times New Roman" w:cs="Times New Roman"/>
          <w:bCs/>
          <w:szCs w:val="24"/>
        </w:rPr>
        <w:t>7</w:t>
      </w:r>
      <w:r w:rsidR="00194A88" w:rsidRPr="006976DB">
        <w:rPr>
          <w:rFonts w:eastAsia="Times New Roman" w:cs="Times New Roman"/>
          <w:bCs/>
          <w:szCs w:val="24"/>
        </w:rPr>
        <w:t xml:space="preserve"> Codebook</w:t>
      </w:r>
    </w:p>
    <w:p w:rsidR="00CC4D8F" w:rsidRDefault="00CC4D8F" w:rsidP="008E1975">
      <w:pPr>
        <w:tabs>
          <w:tab w:val="left" w:pos="2160"/>
        </w:tabs>
        <w:spacing w:after="0" w:line="360" w:lineRule="auto"/>
        <w:ind w:firstLine="720"/>
        <w:contextualSpacing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>IPNC</w:t>
      </w:r>
      <w:r w:rsidR="00995DE8">
        <w:rPr>
          <w:rFonts w:eastAsia="Times New Roman" w:cs="Times New Roman"/>
          <w:bCs/>
          <w:szCs w:val="24"/>
        </w:rPr>
        <w:t>E</w:t>
      </w:r>
      <w:r w:rsidR="00CA2F14">
        <w:rPr>
          <w:rFonts w:eastAsia="Times New Roman" w:cs="Times New Roman"/>
          <w:bCs/>
          <w:szCs w:val="24"/>
        </w:rPr>
        <w:t xml:space="preserve"> 1</w:t>
      </w:r>
      <w:r>
        <w:rPr>
          <w:rFonts w:eastAsia="Times New Roman" w:cs="Times New Roman"/>
          <w:bCs/>
          <w:szCs w:val="24"/>
        </w:rPr>
        <w:t>01 091</w:t>
      </w:r>
      <w:r w:rsidR="00995DE8">
        <w:rPr>
          <w:rFonts w:eastAsia="Times New Roman" w:cs="Times New Roman"/>
          <w:bCs/>
          <w:szCs w:val="24"/>
        </w:rPr>
        <w:t>6</w:t>
      </w:r>
      <w:r>
        <w:rPr>
          <w:rFonts w:eastAsia="Times New Roman" w:cs="Times New Roman"/>
          <w:bCs/>
          <w:szCs w:val="24"/>
        </w:rPr>
        <w:t xml:space="preserve"> ATMT 201</w:t>
      </w:r>
      <w:r w:rsidR="00995DE8">
        <w:rPr>
          <w:rFonts w:eastAsia="Times New Roman" w:cs="Times New Roman"/>
          <w:bCs/>
          <w:szCs w:val="24"/>
        </w:rPr>
        <w:t>7</w:t>
      </w:r>
      <w:r>
        <w:rPr>
          <w:rFonts w:eastAsia="Times New Roman" w:cs="Times New Roman"/>
          <w:bCs/>
          <w:szCs w:val="24"/>
        </w:rPr>
        <w:t xml:space="preserve"> NEC</w:t>
      </w:r>
      <w:r w:rsidRPr="00CC4D8F">
        <w:rPr>
          <w:rFonts w:eastAsia="Times New Roman" w:cs="Times New Roman"/>
          <w:bCs/>
          <w:szCs w:val="24"/>
          <w:vertAlign w:val="superscript"/>
        </w:rPr>
        <w:t>®</w:t>
      </w:r>
      <w:r>
        <w:rPr>
          <w:rFonts w:eastAsia="Times New Roman" w:cs="Times New Roman"/>
          <w:bCs/>
          <w:szCs w:val="24"/>
        </w:rPr>
        <w:t xml:space="preserve"> Training Powerpoint</w:t>
      </w:r>
    </w:p>
    <w:p w:rsidR="00CC4D8F" w:rsidRPr="00CC4D8F" w:rsidRDefault="00514B5B" w:rsidP="008E1975">
      <w:pPr>
        <w:tabs>
          <w:tab w:val="left" w:pos="2160"/>
        </w:tabs>
        <w:spacing w:after="0" w:line="360" w:lineRule="auto"/>
        <w:ind w:firstLine="720"/>
        <w:contextualSpacing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>WBNC</w:t>
      </w:r>
      <w:r w:rsidR="00995DE8">
        <w:rPr>
          <w:rFonts w:eastAsia="Times New Roman" w:cs="Times New Roman"/>
          <w:bCs/>
          <w:szCs w:val="24"/>
        </w:rPr>
        <w:t>E</w:t>
      </w:r>
      <w:r w:rsidR="00CA2F14">
        <w:rPr>
          <w:rFonts w:eastAsia="Times New Roman" w:cs="Times New Roman"/>
          <w:bCs/>
          <w:szCs w:val="24"/>
        </w:rPr>
        <w:t xml:space="preserve"> 1</w:t>
      </w:r>
      <w:r>
        <w:rPr>
          <w:rFonts w:eastAsia="Times New Roman" w:cs="Times New Roman"/>
          <w:bCs/>
          <w:szCs w:val="24"/>
        </w:rPr>
        <w:t>0</w:t>
      </w:r>
      <w:r w:rsidR="00995DE8">
        <w:rPr>
          <w:rFonts w:eastAsia="Times New Roman" w:cs="Times New Roman"/>
          <w:bCs/>
          <w:szCs w:val="24"/>
        </w:rPr>
        <w:t>1 0916</w:t>
      </w:r>
      <w:r w:rsidR="00CC4D8F">
        <w:rPr>
          <w:rFonts w:eastAsia="Times New Roman" w:cs="Times New Roman"/>
          <w:bCs/>
          <w:szCs w:val="24"/>
        </w:rPr>
        <w:t xml:space="preserve"> ATMT 201</w:t>
      </w:r>
      <w:r w:rsidR="00995DE8">
        <w:rPr>
          <w:rFonts w:eastAsia="Times New Roman" w:cs="Times New Roman"/>
          <w:bCs/>
          <w:szCs w:val="24"/>
        </w:rPr>
        <w:t>7</w:t>
      </w:r>
      <w:r w:rsidR="00CC4D8F">
        <w:rPr>
          <w:rFonts w:eastAsia="Times New Roman" w:cs="Times New Roman"/>
          <w:bCs/>
          <w:szCs w:val="24"/>
        </w:rPr>
        <w:t xml:space="preserve"> NEC</w:t>
      </w:r>
      <w:r w:rsidR="00CC4D8F" w:rsidRPr="00CC4D8F">
        <w:rPr>
          <w:rFonts w:eastAsia="Times New Roman" w:cs="Times New Roman"/>
          <w:bCs/>
          <w:szCs w:val="24"/>
          <w:vertAlign w:val="superscript"/>
        </w:rPr>
        <w:t>®</w:t>
      </w:r>
      <w:r w:rsidR="00CC4D8F">
        <w:rPr>
          <w:rFonts w:eastAsia="Times New Roman" w:cs="Times New Roman"/>
          <w:bCs/>
          <w:szCs w:val="24"/>
        </w:rPr>
        <w:t xml:space="preserve"> Student Workbook</w:t>
      </w:r>
      <w:r w:rsidR="00CC4D8F">
        <w:rPr>
          <w:rFonts w:eastAsia="Times New Roman" w:cs="Times New Roman"/>
          <w:bCs/>
          <w:szCs w:val="24"/>
          <w:vertAlign w:val="superscript"/>
        </w:rPr>
        <w:t xml:space="preserve"> </w:t>
      </w:r>
    </w:p>
    <w:p w:rsidR="006D42C8" w:rsidRDefault="006976DB" w:rsidP="008E1975">
      <w:pPr>
        <w:tabs>
          <w:tab w:val="left" w:pos="2160"/>
        </w:tabs>
        <w:spacing w:after="0" w:line="360" w:lineRule="auto"/>
        <w:ind w:firstLine="720"/>
        <w:contextualSpacing/>
        <w:rPr>
          <w:rFonts w:eastAsia="Times New Roman" w:cs="Times New Roman"/>
          <w:bCs/>
          <w:szCs w:val="24"/>
        </w:rPr>
      </w:pPr>
      <w:r w:rsidRPr="006976DB">
        <w:rPr>
          <w:rFonts w:eastAsia="Times New Roman" w:cs="Times New Roman"/>
          <w:bCs/>
          <w:szCs w:val="24"/>
        </w:rPr>
        <w:tab/>
      </w:r>
      <w:r w:rsidR="00CA2F14">
        <w:rPr>
          <w:rFonts w:eastAsia="Times New Roman" w:cs="Times New Roman"/>
          <w:bCs/>
          <w:szCs w:val="24"/>
        </w:rPr>
        <w:t>RG</w:t>
      </w:r>
      <w:r w:rsidR="00CA2F14">
        <w:rPr>
          <w:rFonts w:eastAsia="Times New Roman" w:cs="Times New Roman"/>
          <w:bCs/>
          <w:szCs w:val="24"/>
        </w:rPr>
        <w:t>NCE 101 0916 ATMT 2017 NEC</w:t>
      </w:r>
      <w:r w:rsidR="00CA2F14" w:rsidRPr="00CC4D8F">
        <w:rPr>
          <w:rFonts w:eastAsia="Times New Roman" w:cs="Times New Roman"/>
          <w:bCs/>
          <w:szCs w:val="24"/>
          <w:vertAlign w:val="superscript"/>
        </w:rPr>
        <w:t>®</w:t>
      </w:r>
      <w:r w:rsidR="00CA2F14">
        <w:rPr>
          <w:rFonts w:eastAsia="Times New Roman" w:cs="Times New Roman"/>
          <w:bCs/>
          <w:szCs w:val="24"/>
        </w:rPr>
        <w:t xml:space="preserve"> </w:t>
      </w:r>
      <w:r w:rsidR="00CA2F14">
        <w:rPr>
          <w:rFonts w:eastAsia="Times New Roman" w:cs="Times New Roman"/>
          <w:bCs/>
          <w:szCs w:val="24"/>
        </w:rPr>
        <w:t>Reference Guide</w:t>
      </w:r>
      <w:bookmarkStart w:id="0" w:name="_GoBack"/>
      <w:bookmarkEnd w:id="0"/>
    </w:p>
    <w:p w:rsidR="006D42C8" w:rsidRDefault="006D42C8" w:rsidP="006D42C8">
      <w:pPr>
        <w:tabs>
          <w:tab w:val="left" w:pos="2160"/>
        </w:tabs>
        <w:spacing w:after="0"/>
        <w:ind w:firstLine="720"/>
        <w:contextualSpacing/>
        <w:rPr>
          <w:rFonts w:eastAsia="Times New Roman" w:cs="Times New Roman"/>
          <w:bCs/>
          <w:szCs w:val="24"/>
        </w:rPr>
      </w:pPr>
    </w:p>
    <w:p w:rsidR="00A54983" w:rsidRPr="00194A88" w:rsidRDefault="00A54983" w:rsidP="00A54983">
      <w:pPr>
        <w:pStyle w:val="SgSubhead"/>
      </w:pPr>
      <w:r>
        <w:lastRenderedPageBreak/>
        <w:t>Course Objectives</w:t>
      </w:r>
    </w:p>
    <w:p w:rsidR="00194A88" w:rsidRPr="00194A88" w:rsidRDefault="00194A88" w:rsidP="002A3550">
      <w:pPr>
        <w:pStyle w:val="SgBody"/>
      </w:pPr>
      <w:r w:rsidRPr="00194A88">
        <w:t>Upon completion of this seminar, students will have demonstrated their ability to:</w:t>
      </w:r>
    </w:p>
    <w:p w:rsidR="00194A88" w:rsidRPr="00194A88" w:rsidRDefault="00194A88" w:rsidP="008E1975">
      <w:pPr>
        <w:pStyle w:val="SgBody"/>
        <w:numPr>
          <w:ilvl w:val="0"/>
          <w:numId w:val="14"/>
        </w:numPr>
        <w:spacing w:after="0"/>
      </w:pPr>
      <w:r w:rsidRPr="00194A88">
        <w:t xml:space="preserve">Navigate and find answers in the NEC </w:t>
      </w:r>
      <w:r w:rsidRPr="00194A88">
        <w:rPr>
          <w:vertAlign w:val="superscript"/>
        </w:rPr>
        <w:t>®</w:t>
      </w:r>
    </w:p>
    <w:p w:rsidR="00194A88" w:rsidRPr="00194A88" w:rsidRDefault="00194A88" w:rsidP="008E1975">
      <w:pPr>
        <w:pStyle w:val="SgBody"/>
        <w:numPr>
          <w:ilvl w:val="0"/>
          <w:numId w:val="14"/>
        </w:numPr>
        <w:spacing w:after="0"/>
      </w:pPr>
      <w:r w:rsidRPr="00194A88">
        <w:t xml:space="preserve">Identify key electrical terms found in the National Electrical Code </w:t>
      </w:r>
      <w:r w:rsidRPr="00194A88">
        <w:rPr>
          <w:vertAlign w:val="superscript"/>
        </w:rPr>
        <w:t>®</w:t>
      </w:r>
    </w:p>
    <w:p w:rsidR="00194A88" w:rsidRPr="00194A88" w:rsidRDefault="00194A88" w:rsidP="008E1975">
      <w:pPr>
        <w:pStyle w:val="SgBody"/>
        <w:numPr>
          <w:ilvl w:val="0"/>
          <w:numId w:val="14"/>
        </w:numPr>
        <w:spacing w:after="0"/>
      </w:pPr>
      <w:r w:rsidRPr="00194A88">
        <w:t xml:space="preserve">Locate specific information for their job regarding: </w:t>
      </w:r>
    </w:p>
    <w:p w:rsidR="00194A88" w:rsidRPr="00194A88" w:rsidRDefault="00364E16" w:rsidP="008E1975">
      <w:pPr>
        <w:pStyle w:val="SgBody"/>
        <w:numPr>
          <w:ilvl w:val="1"/>
          <w:numId w:val="14"/>
        </w:numPr>
        <w:spacing w:after="0"/>
      </w:pPr>
      <w:r w:rsidRPr="00194A88">
        <w:t>Electrical installations</w:t>
      </w:r>
    </w:p>
    <w:p w:rsidR="00194A88" w:rsidRPr="00194A88" w:rsidRDefault="00364E16" w:rsidP="008E1975">
      <w:pPr>
        <w:pStyle w:val="SgBody"/>
        <w:numPr>
          <w:ilvl w:val="1"/>
          <w:numId w:val="14"/>
        </w:numPr>
        <w:spacing w:after="0"/>
      </w:pPr>
      <w:r w:rsidRPr="00194A88">
        <w:t>Wiring and protection</w:t>
      </w:r>
    </w:p>
    <w:p w:rsidR="00194A88" w:rsidRPr="00194A88" w:rsidRDefault="00364E16" w:rsidP="008E1975">
      <w:pPr>
        <w:pStyle w:val="SgBody"/>
        <w:numPr>
          <w:ilvl w:val="1"/>
          <w:numId w:val="14"/>
        </w:numPr>
        <w:spacing w:after="0"/>
      </w:pPr>
      <w:r w:rsidRPr="00194A88">
        <w:t>Wiring methods and materials</w:t>
      </w:r>
    </w:p>
    <w:p w:rsidR="00194A88" w:rsidRPr="00194A88" w:rsidRDefault="00364E16" w:rsidP="008E1975">
      <w:pPr>
        <w:pStyle w:val="SgBody"/>
        <w:numPr>
          <w:ilvl w:val="1"/>
          <w:numId w:val="14"/>
        </w:numPr>
        <w:spacing w:after="0"/>
      </w:pPr>
      <w:r w:rsidRPr="00194A88">
        <w:t>Equipment for general use; motors, transformers</w:t>
      </w:r>
    </w:p>
    <w:p w:rsidR="00194A88" w:rsidRPr="00194A88" w:rsidRDefault="00194A88" w:rsidP="008E1975">
      <w:pPr>
        <w:pStyle w:val="SgBody"/>
        <w:numPr>
          <w:ilvl w:val="0"/>
          <w:numId w:val="14"/>
        </w:numPr>
        <w:spacing w:after="0"/>
      </w:pPr>
      <w:r w:rsidRPr="00194A88">
        <w:t xml:space="preserve">Determine the applicability of the code rules found in each chapter of the NEC </w:t>
      </w:r>
      <w:r w:rsidRPr="00194A88">
        <w:rPr>
          <w:vertAlign w:val="superscript"/>
        </w:rPr>
        <w:t>®</w:t>
      </w:r>
    </w:p>
    <w:p w:rsidR="00194A88" w:rsidRPr="00194A88" w:rsidRDefault="00194A88" w:rsidP="008E1975">
      <w:pPr>
        <w:pStyle w:val="SgBody"/>
        <w:numPr>
          <w:ilvl w:val="0"/>
          <w:numId w:val="14"/>
        </w:numPr>
        <w:spacing w:after="0"/>
      </w:pPr>
      <w:r w:rsidRPr="00194A88">
        <w:t xml:space="preserve">Locate specific information for their job regarding: </w:t>
      </w:r>
    </w:p>
    <w:p w:rsidR="00194A88" w:rsidRPr="00194A88" w:rsidRDefault="00364E16" w:rsidP="008E1975">
      <w:pPr>
        <w:pStyle w:val="SgBody"/>
        <w:numPr>
          <w:ilvl w:val="1"/>
          <w:numId w:val="14"/>
        </w:numPr>
        <w:spacing w:after="0"/>
      </w:pPr>
      <w:r w:rsidRPr="00194A88">
        <w:t>Special occupancies</w:t>
      </w:r>
    </w:p>
    <w:p w:rsidR="00194A88" w:rsidRPr="00194A88" w:rsidRDefault="00364E16" w:rsidP="008E1975">
      <w:pPr>
        <w:pStyle w:val="SgBody"/>
        <w:numPr>
          <w:ilvl w:val="1"/>
          <w:numId w:val="14"/>
        </w:numPr>
        <w:spacing w:after="0"/>
      </w:pPr>
      <w:r w:rsidRPr="00194A88">
        <w:t>Special equipment</w:t>
      </w:r>
    </w:p>
    <w:p w:rsidR="00194A88" w:rsidRPr="00194A88" w:rsidRDefault="00364E16" w:rsidP="008E1975">
      <w:pPr>
        <w:pStyle w:val="SgBody"/>
        <w:numPr>
          <w:ilvl w:val="1"/>
          <w:numId w:val="14"/>
        </w:numPr>
        <w:spacing w:after="0"/>
      </w:pPr>
      <w:r w:rsidRPr="00194A88">
        <w:t>Special conditions</w:t>
      </w:r>
    </w:p>
    <w:p w:rsidR="00194A88" w:rsidRPr="00194A88" w:rsidRDefault="00364E16" w:rsidP="008E1975">
      <w:pPr>
        <w:pStyle w:val="SgBody"/>
        <w:numPr>
          <w:ilvl w:val="1"/>
          <w:numId w:val="14"/>
        </w:numPr>
        <w:spacing w:after="0"/>
      </w:pPr>
      <w:r w:rsidRPr="00194A88">
        <w:t>Communication systems</w:t>
      </w:r>
    </w:p>
    <w:p w:rsidR="00194A88" w:rsidRPr="00194A88" w:rsidRDefault="00194A88" w:rsidP="008E1975">
      <w:pPr>
        <w:pStyle w:val="SgBody"/>
        <w:numPr>
          <w:ilvl w:val="0"/>
          <w:numId w:val="14"/>
        </w:numPr>
        <w:spacing w:after="0"/>
      </w:pPr>
      <w:r w:rsidRPr="00194A88">
        <w:t xml:space="preserve">Learn how to apply the tables found in chapter nine of the NEC </w:t>
      </w:r>
      <w:r w:rsidRPr="00194A88">
        <w:rPr>
          <w:vertAlign w:val="superscript"/>
        </w:rPr>
        <w:t>®</w:t>
      </w:r>
      <w:r w:rsidRPr="00194A88">
        <w:t xml:space="preserve"> in solving typical electrical wiring and conduit problems.</w:t>
      </w:r>
    </w:p>
    <w:p w:rsidR="00514B5B" w:rsidRDefault="00194A88" w:rsidP="008E1975">
      <w:pPr>
        <w:pStyle w:val="SgBody"/>
        <w:numPr>
          <w:ilvl w:val="0"/>
          <w:numId w:val="14"/>
        </w:numPr>
        <w:spacing w:after="0"/>
      </w:pPr>
      <w:r w:rsidRPr="00194A88">
        <w:t>Un</w:t>
      </w:r>
      <w:r w:rsidR="00995DE8">
        <w:t>derstand the most important 2017</w:t>
      </w:r>
      <w:r w:rsidRPr="00194A88">
        <w:t xml:space="preserve"> National Electrical Code </w:t>
      </w:r>
      <w:r w:rsidRPr="008E1975">
        <w:rPr>
          <w:vertAlign w:val="superscript"/>
        </w:rPr>
        <w:t>®</w:t>
      </w:r>
      <w:r w:rsidRPr="00194A88">
        <w:t xml:space="preserve"> changes</w:t>
      </w:r>
    </w:p>
    <w:p w:rsidR="008E1975" w:rsidRDefault="008E1975" w:rsidP="008E1975">
      <w:pPr>
        <w:pStyle w:val="SgBody"/>
        <w:spacing w:after="0"/>
        <w:ind w:left="720"/>
      </w:pPr>
    </w:p>
    <w:p w:rsidR="00514B5B" w:rsidRPr="00194A88" w:rsidRDefault="00514B5B" w:rsidP="00514B5B">
      <w:pPr>
        <w:pStyle w:val="SgSubhead"/>
      </w:pPr>
      <w:r>
        <w:t>Course Agenda</w:t>
      </w:r>
    </w:p>
    <w:p w:rsidR="00514B5B" w:rsidRDefault="00514B5B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  <w:vertAlign w:val="superscript"/>
        </w:rPr>
      </w:pPr>
      <w:r w:rsidRPr="008A58D5">
        <w:rPr>
          <w:rFonts w:ascii="Times New Roman" w:hAnsi="Times New Roman"/>
          <w:b/>
          <w:sz w:val="24"/>
          <w:szCs w:val="24"/>
        </w:rPr>
        <w:t xml:space="preserve">Introduction to the National Electrical Code </w:t>
      </w:r>
      <w:r w:rsidRPr="008A58D5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:rsidR="008E1975" w:rsidRPr="008A58D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Pr="008A58D5" w:rsidRDefault="00514B5B" w:rsidP="008E1975">
      <w:pPr>
        <w:pStyle w:val="SgBody"/>
        <w:numPr>
          <w:ilvl w:val="0"/>
          <w:numId w:val="15"/>
        </w:numPr>
        <w:spacing w:after="0" w:line="276" w:lineRule="auto"/>
        <w:contextualSpacing/>
      </w:pPr>
      <w:r w:rsidRPr="008A58D5">
        <w:t xml:space="preserve">NEC </w:t>
      </w:r>
      <w:r w:rsidRPr="008A58D5">
        <w:rPr>
          <w:vertAlign w:val="superscript"/>
        </w:rPr>
        <w:t>®</w:t>
      </w:r>
      <w:r w:rsidRPr="008A58D5">
        <w:t xml:space="preserve"> layout as the first step in successful navigation </w:t>
      </w:r>
    </w:p>
    <w:p w:rsidR="00514B5B" w:rsidRPr="008A58D5" w:rsidRDefault="00514B5B" w:rsidP="008E1975">
      <w:pPr>
        <w:pStyle w:val="SgBody"/>
        <w:numPr>
          <w:ilvl w:val="0"/>
          <w:numId w:val="15"/>
        </w:numPr>
        <w:spacing w:after="0" w:line="276" w:lineRule="auto"/>
        <w:contextualSpacing/>
      </w:pPr>
      <w:r w:rsidRPr="008A58D5">
        <w:t>Differences between the first four chapters and chapters five through nine</w:t>
      </w:r>
    </w:p>
    <w:p w:rsidR="00514B5B" w:rsidRPr="008A58D5" w:rsidRDefault="00514B5B" w:rsidP="008E1975">
      <w:pPr>
        <w:pStyle w:val="SgBody"/>
        <w:numPr>
          <w:ilvl w:val="0"/>
          <w:numId w:val="15"/>
        </w:numPr>
        <w:spacing w:after="0" w:line="276" w:lineRule="auto"/>
        <w:contextualSpacing/>
      </w:pPr>
      <w:r w:rsidRPr="008A58D5">
        <w:t xml:space="preserve">How to quickly put yourself in the right chapter of the National Electrical Code </w:t>
      </w:r>
      <w:r w:rsidRPr="008A58D5">
        <w:rPr>
          <w:vertAlign w:val="superscript"/>
        </w:rPr>
        <w:t>®</w:t>
      </w:r>
    </w:p>
    <w:p w:rsidR="008E197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Default="00514B5B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A58D5">
        <w:rPr>
          <w:rFonts w:ascii="Times New Roman" w:hAnsi="Times New Roman"/>
          <w:b/>
          <w:sz w:val="24"/>
          <w:szCs w:val="24"/>
        </w:rPr>
        <w:t>Chapter 1</w:t>
      </w:r>
      <w:r w:rsidR="008A58D5">
        <w:rPr>
          <w:rFonts w:ascii="Times New Roman" w:hAnsi="Times New Roman"/>
          <w:b/>
          <w:sz w:val="24"/>
          <w:szCs w:val="24"/>
        </w:rPr>
        <w:t>:</w:t>
      </w:r>
      <w:r w:rsidRPr="008A58D5">
        <w:rPr>
          <w:rFonts w:ascii="Times New Roman" w:hAnsi="Times New Roman"/>
          <w:b/>
          <w:sz w:val="24"/>
          <w:szCs w:val="24"/>
        </w:rPr>
        <w:t xml:space="preserve"> General</w:t>
      </w:r>
    </w:p>
    <w:p w:rsidR="008E1975" w:rsidRPr="008A58D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Key words and definitions you must know</w:t>
      </w: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Installation requirements topics</w:t>
      </w:r>
    </w:p>
    <w:p w:rsidR="008E197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197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14B5B" w:rsidRDefault="00514B5B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A58D5">
        <w:rPr>
          <w:rFonts w:ascii="Times New Roman" w:hAnsi="Times New Roman"/>
          <w:b/>
          <w:sz w:val="24"/>
          <w:szCs w:val="24"/>
        </w:rPr>
        <w:lastRenderedPageBreak/>
        <w:t>Chapter 2</w:t>
      </w:r>
      <w:r w:rsidR="008A58D5">
        <w:rPr>
          <w:rFonts w:ascii="Times New Roman" w:hAnsi="Times New Roman"/>
          <w:b/>
          <w:sz w:val="24"/>
          <w:szCs w:val="24"/>
        </w:rPr>
        <w:t>:</w:t>
      </w:r>
      <w:r w:rsidRPr="008A58D5">
        <w:rPr>
          <w:rFonts w:ascii="Times New Roman" w:hAnsi="Times New Roman"/>
          <w:b/>
          <w:sz w:val="24"/>
          <w:szCs w:val="24"/>
        </w:rPr>
        <w:t xml:space="preserve"> Wiring and Protection</w:t>
      </w:r>
    </w:p>
    <w:p w:rsidR="008E1975" w:rsidRPr="008A58D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Use and identification of grounded conductors branch circuits</w:t>
      </w: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Feeders</w:t>
      </w: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Branch-circuit, feeder and service calculations outside branch circuits and feeders</w:t>
      </w: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Services</w:t>
      </w: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Overcurrent protection</w:t>
      </w: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Grounding</w:t>
      </w:r>
    </w:p>
    <w:p w:rsidR="00514B5B" w:rsidRPr="008A58D5" w:rsidRDefault="00514B5B" w:rsidP="008E1975">
      <w:pPr>
        <w:pStyle w:val="SgBody"/>
        <w:numPr>
          <w:ilvl w:val="0"/>
          <w:numId w:val="16"/>
        </w:numPr>
        <w:spacing w:after="0" w:line="276" w:lineRule="auto"/>
        <w:contextualSpacing/>
      </w:pPr>
      <w:r w:rsidRPr="008A58D5">
        <w:t>Transient voltage surge suppressors</w:t>
      </w:r>
    </w:p>
    <w:p w:rsidR="008E197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Default="00514B5B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A58D5">
        <w:rPr>
          <w:rFonts w:ascii="Times New Roman" w:hAnsi="Times New Roman"/>
          <w:b/>
          <w:sz w:val="24"/>
          <w:szCs w:val="24"/>
        </w:rPr>
        <w:t>Chapter 3</w:t>
      </w:r>
      <w:r w:rsidR="008A58D5">
        <w:rPr>
          <w:rFonts w:ascii="Times New Roman" w:hAnsi="Times New Roman"/>
          <w:b/>
          <w:sz w:val="24"/>
          <w:szCs w:val="24"/>
        </w:rPr>
        <w:t>:</w:t>
      </w:r>
      <w:r w:rsidRPr="008A58D5">
        <w:rPr>
          <w:rFonts w:ascii="Times New Roman" w:hAnsi="Times New Roman"/>
          <w:b/>
          <w:sz w:val="24"/>
          <w:szCs w:val="24"/>
        </w:rPr>
        <w:t xml:space="preserve"> Wiring Methods and Materials</w:t>
      </w:r>
    </w:p>
    <w:p w:rsidR="008E1975" w:rsidRPr="008A58D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Wiring methods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Conductors for general wiring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Cabinets, cutout boxes, meter socket enclosures outlet, device, pull, and junction boxes; conduit bodies; fittings; and manholes armored cable: Type AC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Nonmetallic-sheathed cable: Types NM, NMCn and NMS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Flexible metal conduit: Type FMC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Liquidtight flexible metal conduit, rigid nonmetallic conduit: Type LFMC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Rigid nonmetallic conduit: Type FMC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 xml:space="preserve">Liquidtight flexible nonmetallic conduit: Type LFNC 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Electrical nonmetallic tubing: Type ENT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Auxiliary gutters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Busways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Cablebus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Metal wireways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Surface metal raceways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Surface nonmetallic raceways</w:t>
      </w:r>
    </w:p>
    <w:p w:rsidR="00514B5B" w:rsidRPr="008A58D5" w:rsidRDefault="00514B5B" w:rsidP="008E1975">
      <w:pPr>
        <w:pStyle w:val="SgBody"/>
        <w:numPr>
          <w:ilvl w:val="0"/>
          <w:numId w:val="17"/>
        </w:numPr>
        <w:spacing w:after="0" w:line="276" w:lineRule="auto"/>
        <w:contextualSpacing/>
      </w:pPr>
      <w:r w:rsidRPr="008A58D5">
        <w:t>Cable trays</w:t>
      </w:r>
    </w:p>
    <w:p w:rsidR="008E197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Default="00514B5B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A58D5">
        <w:rPr>
          <w:rFonts w:ascii="Times New Roman" w:hAnsi="Times New Roman"/>
          <w:b/>
          <w:sz w:val="24"/>
          <w:szCs w:val="24"/>
        </w:rPr>
        <w:t>Chapter 4: Equipment for General Use</w:t>
      </w:r>
    </w:p>
    <w:p w:rsidR="008E1975" w:rsidRPr="008A58D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Flexible cords and cables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Fixture wires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Switches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Receptacles, cord connectors, and attachment caps switchboards and panelboards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Luminaries, lamp holders, lamps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Appliances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Fixed electric space-heating equipment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Motors, motor circuits, and controllers, including disconnecting means for motors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Air conditioning and refrigeration equipment transformers and transformer vaults</w:t>
      </w:r>
    </w:p>
    <w:p w:rsidR="00514B5B" w:rsidRPr="008A58D5" w:rsidRDefault="00514B5B" w:rsidP="008E1975">
      <w:pPr>
        <w:pStyle w:val="SgBody"/>
        <w:numPr>
          <w:ilvl w:val="0"/>
          <w:numId w:val="18"/>
        </w:numPr>
        <w:spacing w:after="0" w:line="276" w:lineRule="auto"/>
        <w:contextualSpacing/>
      </w:pPr>
      <w:r w:rsidRPr="008A58D5">
        <w:t>Equipment over 600 volts, nominal</w:t>
      </w:r>
    </w:p>
    <w:p w:rsidR="00514B5B" w:rsidRDefault="00514B5B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A58D5">
        <w:rPr>
          <w:rFonts w:ascii="Times New Roman" w:hAnsi="Times New Roman"/>
          <w:b/>
          <w:sz w:val="24"/>
          <w:szCs w:val="24"/>
        </w:rPr>
        <w:lastRenderedPageBreak/>
        <w:t>Chapters 5 through 8</w:t>
      </w:r>
    </w:p>
    <w:p w:rsidR="008E1975" w:rsidRPr="008A58D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Pr="008A58D5" w:rsidRDefault="00514B5B" w:rsidP="008E1975">
      <w:pPr>
        <w:pStyle w:val="SgBody"/>
        <w:numPr>
          <w:ilvl w:val="0"/>
          <w:numId w:val="19"/>
        </w:numPr>
        <w:spacing w:after="0" w:line="276" w:lineRule="auto"/>
        <w:contextualSpacing/>
      </w:pPr>
      <w:r w:rsidRPr="008A58D5">
        <w:t>The interrelationships between the first four chapters and these chapters</w:t>
      </w:r>
    </w:p>
    <w:p w:rsidR="00514B5B" w:rsidRPr="008A58D5" w:rsidRDefault="00514B5B" w:rsidP="008E1975">
      <w:pPr>
        <w:pStyle w:val="SgBody"/>
        <w:numPr>
          <w:ilvl w:val="0"/>
          <w:numId w:val="19"/>
        </w:numPr>
        <w:spacing w:after="0" w:line="276" w:lineRule="auto"/>
        <w:contextualSpacing/>
      </w:pPr>
      <w:r w:rsidRPr="008A58D5">
        <w:t>Special occupancies</w:t>
      </w:r>
    </w:p>
    <w:p w:rsidR="00514B5B" w:rsidRPr="008A58D5" w:rsidRDefault="00514B5B" w:rsidP="008E1975">
      <w:pPr>
        <w:pStyle w:val="SgBody"/>
        <w:numPr>
          <w:ilvl w:val="0"/>
          <w:numId w:val="19"/>
        </w:numPr>
        <w:spacing w:after="0" w:line="276" w:lineRule="auto"/>
        <w:contextualSpacing/>
      </w:pPr>
      <w:r w:rsidRPr="008A58D5">
        <w:t>Special equipment</w:t>
      </w:r>
    </w:p>
    <w:p w:rsidR="00514B5B" w:rsidRPr="008A58D5" w:rsidRDefault="00514B5B" w:rsidP="008E1975">
      <w:pPr>
        <w:pStyle w:val="SgBody"/>
        <w:numPr>
          <w:ilvl w:val="0"/>
          <w:numId w:val="19"/>
        </w:numPr>
        <w:spacing w:after="0" w:line="276" w:lineRule="auto"/>
        <w:contextualSpacing/>
      </w:pPr>
      <w:r w:rsidRPr="008A58D5">
        <w:t>Special conditions</w:t>
      </w:r>
    </w:p>
    <w:p w:rsidR="00514B5B" w:rsidRPr="008A58D5" w:rsidRDefault="00514B5B" w:rsidP="008E1975">
      <w:pPr>
        <w:pStyle w:val="SgBody"/>
        <w:numPr>
          <w:ilvl w:val="0"/>
          <w:numId w:val="19"/>
        </w:numPr>
        <w:spacing w:after="0" w:line="276" w:lineRule="auto"/>
        <w:contextualSpacing/>
      </w:pPr>
      <w:r w:rsidRPr="008A58D5">
        <w:rPr>
          <w:rFonts w:eastAsia="Times New Roman"/>
        </w:rPr>
        <w:t>Communication systems</w:t>
      </w:r>
    </w:p>
    <w:p w:rsidR="008E197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Default="00514B5B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A58D5">
        <w:rPr>
          <w:rFonts w:ascii="Times New Roman" w:hAnsi="Times New Roman"/>
          <w:b/>
          <w:sz w:val="24"/>
          <w:szCs w:val="24"/>
        </w:rPr>
        <w:t>Chapter 9: Tables</w:t>
      </w:r>
    </w:p>
    <w:p w:rsidR="008E1975" w:rsidRPr="008A58D5" w:rsidRDefault="008E1975" w:rsidP="008E1975">
      <w:pPr>
        <w:pStyle w:val="Sgsubsubhead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4B5B" w:rsidRPr="008A58D5" w:rsidRDefault="00514B5B" w:rsidP="008E1975">
      <w:pPr>
        <w:pStyle w:val="SgBody"/>
        <w:numPr>
          <w:ilvl w:val="0"/>
          <w:numId w:val="19"/>
        </w:numPr>
        <w:spacing w:after="0" w:line="276" w:lineRule="auto"/>
        <w:contextualSpacing/>
      </w:pPr>
      <w:r w:rsidRPr="008A58D5">
        <w:t>How to use ready information quickly</w:t>
      </w:r>
    </w:p>
    <w:p w:rsidR="00514B5B" w:rsidRPr="008A58D5" w:rsidRDefault="00514B5B" w:rsidP="008E1975">
      <w:pPr>
        <w:pStyle w:val="SgBody"/>
        <w:numPr>
          <w:ilvl w:val="0"/>
          <w:numId w:val="19"/>
        </w:numPr>
        <w:spacing w:after="0" w:line="276" w:lineRule="auto"/>
        <w:contextualSpacing/>
      </w:pPr>
      <w:r w:rsidRPr="008A58D5">
        <w:t>Solving problems with tables</w:t>
      </w:r>
    </w:p>
    <w:p w:rsidR="00514B5B" w:rsidRDefault="00514B5B"/>
    <w:p w:rsidR="005122F8" w:rsidRPr="00194A88" w:rsidRDefault="005122F8" w:rsidP="005122F8">
      <w:pPr>
        <w:pStyle w:val="SgSubhead"/>
      </w:pPr>
      <w:r>
        <w:t>Course Timeline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395"/>
        <w:gridCol w:w="1646"/>
        <w:gridCol w:w="857"/>
        <w:gridCol w:w="6272"/>
      </w:tblGrid>
      <w:tr w:rsidR="008A58D5" w:rsidTr="008E1975">
        <w:trPr>
          <w:trHeight w:val="346"/>
          <w:jc w:val="center"/>
        </w:trPr>
        <w:tc>
          <w:tcPr>
            <w:tcW w:w="10170" w:type="dxa"/>
            <w:gridSpan w:val="4"/>
            <w:shd w:val="clear" w:color="auto" w:fill="D6E3BC" w:themeFill="accent3" w:themeFillTint="66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DAY ONE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2D0B">
              <w:rPr>
                <w:rFonts w:eastAsia="Times New Roman" w:cs="Times New Roman"/>
                <w:b/>
                <w:bCs/>
                <w:szCs w:val="24"/>
              </w:rPr>
              <w:t>Start Time</w:t>
            </w:r>
          </w:p>
        </w:tc>
        <w:tc>
          <w:tcPr>
            <w:tcW w:w="1646" w:type="dxa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2D0B">
              <w:rPr>
                <w:rFonts w:eastAsia="Times New Roman" w:cs="Times New Roman"/>
                <w:b/>
                <w:bCs/>
                <w:szCs w:val="24"/>
              </w:rPr>
              <w:t>End Time</w:t>
            </w:r>
          </w:p>
        </w:tc>
        <w:tc>
          <w:tcPr>
            <w:tcW w:w="857" w:type="dxa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2D0B">
              <w:rPr>
                <w:rFonts w:eastAsia="Times New Roman" w:cs="Times New Roman"/>
                <w:b/>
                <w:bCs/>
                <w:szCs w:val="24"/>
              </w:rPr>
              <w:t>Hours</w:t>
            </w:r>
          </w:p>
        </w:tc>
        <w:tc>
          <w:tcPr>
            <w:tcW w:w="6272" w:type="dxa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2D0B">
              <w:rPr>
                <w:rFonts w:eastAsia="Times New Roman" w:cs="Times New Roman"/>
                <w:b/>
                <w:bCs/>
                <w:szCs w:val="24"/>
              </w:rPr>
              <w:t>Topic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7:30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8:00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.5</w:t>
            </w:r>
          </w:p>
        </w:tc>
        <w:tc>
          <w:tcPr>
            <w:tcW w:w="6272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Registration/Sign-In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8:00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9:00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8A58D5" w:rsidRPr="00986104" w:rsidRDefault="00986104" w:rsidP="008E1975">
            <w:pPr>
              <w:pStyle w:val="ListParagraph"/>
              <w:ind w:hanging="720"/>
              <w:rPr>
                <w:b/>
              </w:rPr>
            </w:pPr>
            <w:r w:rsidRPr="00986104">
              <w:rPr>
                <w:b/>
              </w:rPr>
              <w:t xml:space="preserve">Introduction to the National Electrical Code </w:t>
            </w:r>
            <w:r w:rsidRPr="00986104">
              <w:rPr>
                <w:b/>
                <w:vertAlign w:val="superscript"/>
              </w:rPr>
              <w:t>®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9:00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10:30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1.5</w:t>
            </w:r>
          </w:p>
        </w:tc>
        <w:tc>
          <w:tcPr>
            <w:tcW w:w="6272" w:type="dxa"/>
            <w:vAlign w:val="center"/>
          </w:tcPr>
          <w:p w:rsidR="008A58D5" w:rsidRPr="00986104" w:rsidRDefault="00986104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986104">
              <w:rPr>
                <w:rFonts w:eastAsia="Times New Roman" w:cs="Times New Roman"/>
                <w:b/>
                <w:bCs/>
                <w:szCs w:val="24"/>
              </w:rPr>
              <w:t>Chapter 1: General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10:30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10:45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.25</w:t>
            </w:r>
          </w:p>
        </w:tc>
        <w:tc>
          <w:tcPr>
            <w:tcW w:w="6272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Break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10:45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12:00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1.25</w:t>
            </w:r>
          </w:p>
        </w:tc>
        <w:tc>
          <w:tcPr>
            <w:tcW w:w="6272" w:type="dxa"/>
            <w:vAlign w:val="center"/>
          </w:tcPr>
          <w:p w:rsidR="008A58D5" w:rsidRDefault="00986104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 w:rsidRPr="00986104">
              <w:rPr>
                <w:rFonts w:eastAsia="Times New Roman" w:cs="Times New Roman"/>
                <w:b/>
                <w:bCs/>
                <w:szCs w:val="24"/>
              </w:rPr>
              <w:t>Chapter 1: General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(cont’d)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12:00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Lunch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2:45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1.75</w:t>
            </w:r>
          </w:p>
        </w:tc>
        <w:tc>
          <w:tcPr>
            <w:tcW w:w="6272" w:type="dxa"/>
            <w:vAlign w:val="center"/>
          </w:tcPr>
          <w:p w:rsidR="008A58D5" w:rsidRPr="00986104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986104">
              <w:rPr>
                <w:rFonts w:eastAsia="Times New Roman" w:cs="Times New Roman"/>
                <w:b/>
                <w:bCs/>
                <w:szCs w:val="24"/>
              </w:rPr>
              <w:t>Chapter 2</w:t>
            </w:r>
            <w:r w:rsidR="00986104" w:rsidRPr="00986104">
              <w:rPr>
                <w:rFonts w:eastAsia="Times New Roman" w:cs="Times New Roman"/>
                <w:b/>
                <w:bCs/>
                <w:szCs w:val="24"/>
              </w:rPr>
              <w:t>: Wiring and Protection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2:45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.25</w:t>
            </w:r>
          </w:p>
        </w:tc>
        <w:tc>
          <w:tcPr>
            <w:tcW w:w="6272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Break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4:30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1.5</w:t>
            </w:r>
          </w:p>
        </w:tc>
        <w:tc>
          <w:tcPr>
            <w:tcW w:w="6272" w:type="dxa"/>
            <w:vAlign w:val="center"/>
          </w:tcPr>
          <w:p w:rsidR="008A58D5" w:rsidRPr="00986104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986104">
              <w:rPr>
                <w:rFonts w:eastAsia="Times New Roman" w:cs="Times New Roman"/>
                <w:b/>
                <w:bCs/>
                <w:szCs w:val="24"/>
              </w:rPr>
              <w:t>Chapter 3</w:t>
            </w:r>
            <w:r w:rsidR="00986104" w:rsidRPr="00986104">
              <w:rPr>
                <w:rFonts w:eastAsia="Times New Roman" w:cs="Times New Roman"/>
                <w:b/>
                <w:bCs/>
                <w:szCs w:val="24"/>
              </w:rPr>
              <w:t>: Wiring Methods and Materials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0170" w:type="dxa"/>
            <w:gridSpan w:val="4"/>
            <w:shd w:val="clear" w:color="auto" w:fill="D6E3BC" w:themeFill="accent3" w:themeFillTint="66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DAY TWO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2D0B">
              <w:rPr>
                <w:rFonts w:eastAsia="Times New Roman" w:cs="Times New Roman"/>
                <w:b/>
                <w:bCs/>
                <w:szCs w:val="24"/>
              </w:rPr>
              <w:t>Start Time</w:t>
            </w:r>
          </w:p>
        </w:tc>
        <w:tc>
          <w:tcPr>
            <w:tcW w:w="1646" w:type="dxa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2D0B">
              <w:rPr>
                <w:rFonts w:eastAsia="Times New Roman" w:cs="Times New Roman"/>
                <w:b/>
                <w:bCs/>
                <w:szCs w:val="24"/>
              </w:rPr>
              <w:t>End Time</w:t>
            </w:r>
          </w:p>
        </w:tc>
        <w:tc>
          <w:tcPr>
            <w:tcW w:w="857" w:type="dxa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2D0B">
              <w:rPr>
                <w:rFonts w:eastAsia="Times New Roman" w:cs="Times New Roman"/>
                <w:b/>
                <w:bCs/>
                <w:szCs w:val="24"/>
              </w:rPr>
              <w:t>Hours</w:t>
            </w:r>
          </w:p>
        </w:tc>
        <w:tc>
          <w:tcPr>
            <w:tcW w:w="6272" w:type="dxa"/>
            <w:vAlign w:val="center"/>
          </w:tcPr>
          <w:p w:rsidR="008A58D5" w:rsidRPr="007D2D0B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2D0B">
              <w:rPr>
                <w:rFonts w:eastAsia="Times New Roman" w:cs="Times New Roman"/>
                <w:b/>
                <w:bCs/>
                <w:szCs w:val="24"/>
              </w:rPr>
              <w:t>Topic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7:30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8:00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.5</w:t>
            </w:r>
          </w:p>
        </w:tc>
        <w:tc>
          <w:tcPr>
            <w:tcW w:w="6272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Registration/Sign-In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8:00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8:30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.5</w:t>
            </w:r>
          </w:p>
        </w:tc>
        <w:tc>
          <w:tcPr>
            <w:tcW w:w="6272" w:type="dxa"/>
            <w:vAlign w:val="center"/>
          </w:tcPr>
          <w:p w:rsidR="008A58D5" w:rsidRDefault="00904CDE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 w:rsidRPr="00986104">
              <w:rPr>
                <w:rFonts w:eastAsia="Times New Roman" w:cs="Times New Roman"/>
                <w:b/>
                <w:bCs/>
                <w:szCs w:val="24"/>
              </w:rPr>
              <w:t>Chapter 3: Wiring Methods and Materials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(cont’d)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8:30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1.5</w:t>
            </w:r>
          </w:p>
        </w:tc>
        <w:tc>
          <w:tcPr>
            <w:tcW w:w="6272" w:type="dxa"/>
            <w:vAlign w:val="center"/>
          </w:tcPr>
          <w:p w:rsidR="008A58D5" w:rsidRPr="00904CDE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904CDE">
              <w:rPr>
                <w:rFonts w:eastAsia="Times New Roman" w:cs="Times New Roman"/>
                <w:b/>
                <w:bCs/>
                <w:szCs w:val="24"/>
              </w:rPr>
              <w:t>Chapter 4</w:t>
            </w:r>
            <w:r w:rsidR="00904CDE" w:rsidRPr="00904CDE">
              <w:rPr>
                <w:rFonts w:eastAsia="Times New Roman" w:cs="Times New Roman"/>
                <w:b/>
                <w:bCs/>
                <w:szCs w:val="24"/>
              </w:rPr>
              <w:t>: Equipment for General Use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10:15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.25</w:t>
            </w:r>
          </w:p>
        </w:tc>
        <w:tc>
          <w:tcPr>
            <w:tcW w:w="6272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Break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10:15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12:00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1.75</w:t>
            </w:r>
          </w:p>
        </w:tc>
        <w:tc>
          <w:tcPr>
            <w:tcW w:w="6272" w:type="dxa"/>
            <w:vAlign w:val="center"/>
          </w:tcPr>
          <w:p w:rsidR="008A58D5" w:rsidRPr="00904CDE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904CDE">
              <w:rPr>
                <w:rFonts w:eastAsia="Times New Roman" w:cs="Times New Roman"/>
                <w:b/>
                <w:bCs/>
                <w:szCs w:val="24"/>
              </w:rPr>
              <w:t>Chapters 5 &amp; 6</w:t>
            </w:r>
            <w:r w:rsidR="00904CDE" w:rsidRPr="00904CDE">
              <w:rPr>
                <w:rFonts w:eastAsia="Times New Roman" w:cs="Times New Roman"/>
                <w:b/>
                <w:bCs/>
                <w:szCs w:val="24"/>
              </w:rPr>
              <w:t>: Special Occupancies &amp; Special Equipment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12:00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1:00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Lunch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1:00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2:30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1.5</w:t>
            </w:r>
          </w:p>
        </w:tc>
        <w:tc>
          <w:tcPr>
            <w:tcW w:w="6272" w:type="dxa"/>
            <w:vAlign w:val="center"/>
          </w:tcPr>
          <w:p w:rsidR="008A58D5" w:rsidRPr="00904CDE" w:rsidRDefault="00904CDE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904CDE">
              <w:rPr>
                <w:rFonts w:eastAsia="Times New Roman" w:cs="Times New Roman"/>
                <w:b/>
                <w:bCs/>
                <w:szCs w:val="24"/>
              </w:rPr>
              <w:t>Chapter 7: Special Conditions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2:30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2:45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.25</w:t>
            </w:r>
          </w:p>
        </w:tc>
        <w:tc>
          <w:tcPr>
            <w:tcW w:w="6272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Break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2:45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3:30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.75</w:t>
            </w:r>
          </w:p>
        </w:tc>
        <w:tc>
          <w:tcPr>
            <w:tcW w:w="6272" w:type="dxa"/>
            <w:vAlign w:val="center"/>
          </w:tcPr>
          <w:p w:rsidR="008A58D5" w:rsidRPr="00904CDE" w:rsidRDefault="008E197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Chapter</w:t>
            </w:r>
            <w:r w:rsidR="008A58D5" w:rsidRPr="00904CDE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904CDE" w:rsidRPr="00904CDE">
              <w:rPr>
                <w:rFonts w:eastAsia="Times New Roman" w:cs="Times New Roman"/>
                <w:b/>
                <w:bCs/>
                <w:szCs w:val="24"/>
              </w:rPr>
              <w:t>8: Communications Systems</w:t>
            </w:r>
          </w:p>
        </w:tc>
      </w:tr>
      <w:tr w:rsidR="008A58D5" w:rsidTr="008E1975">
        <w:trPr>
          <w:trHeight w:val="346"/>
          <w:jc w:val="center"/>
        </w:trPr>
        <w:tc>
          <w:tcPr>
            <w:tcW w:w="1395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3:30</w:t>
            </w:r>
          </w:p>
        </w:tc>
        <w:tc>
          <w:tcPr>
            <w:tcW w:w="1646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4:30</w:t>
            </w:r>
          </w:p>
        </w:tc>
        <w:tc>
          <w:tcPr>
            <w:tcW w:w="857" w:type="dxa"/>
            <w:vAlign w:val="center"/>
          </w:tcPr>
          <w:p w:rsidR="008A58D5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8A58D5" w:rsidRPr="00904CDE" w:rsidRDefault="008A58D5" w:rsidP="008E1975">
            <w:pPr>
              <w:tabs>
                <w:tab w:val="left" w:pos="2160"/>
              </w:tabs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</w:rPr>
            </w:pPr>
            <w:r w:rsidRPr="00904CDE">
              <w:rPr>
                <w:rFonts w:eastAsia="Times New Roman" w:cs="Times New Roman"/>
                <w:b/>
                <w:bCs/>
                <w:szCs w:val="24"/>
              </w:rPr>
              <w:t>Chapter 9</w:t>
            </w:r>
            <w:r w:rsidR="00904CDE" w:rsidRPr="00904CDE">
              <w:rPr>
                <w:rFonts w:eastAsia="Times New Roman" w:cs="Times New Roman"/>
                <w:b/>
                <w:bCs/>
                <w:szCs w:val="24"/>
              </w:rPr>
              <w:t>: Tables</w:t>
            </w:r>
          </w:p>
        </w:tc>
      </w:tr>
    </w:tbl>
    <w:p w:rsidR="005122F8" w:rsidRPr="005122F8" w:rsidRDefault="005122F8" w:rsidP="005122F8"/>
    <w:sectPr w:rsidR="005122F8" w:rsidRPr="005122F8" w:rsidSect="00904CDE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83" w:rsidRDefault="00A54983" w:rsidP="006976DB">
      <w:pPr>
        <w:spacing w:after="0" w:line="240" w:lineRule="auto"/>
      </w:pPr>
      <w:r>
        <w:separator/>
      </w:r>
    </w:p>
  </w:endnote>
  <w:endnote w:type="continuationSeparator" w:id="0">
    <w:p w:rsidR="00A54983" w:rsidRDefault="00A54983" w:rsidP="0069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83" w:rsidRPr="00EB33DA" w:rsidRDefault="00B4172D" w:rsidP="00EB33DA">
    <w:pPr>
      <w:pStyle w:val="Footer"/>
      <w:jc w:val="center"/>
      <w:rPr>
        <w:rFonts w:ascii="Franklin Gothic Medium" w:hAnsi="Franklin Gothic Medium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38A42E" wp14:editId="36FF327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83" w:rsidRDefault="00A54983" w:rsidP="006976DB">
      <w:pPr>
        <w:spacing w:after="0" w:line="240" w:lineRule="auto"/>
      </w:pPr>
      <w:r>
        <w:separator/>
      </w:r>
    </w:p>
  </w:footnote>
  <w:footnote w:type="continuationSeparator" w:id="0">
    <w:p w:rsidR="00A54983" w:rsidRDefault="00A54983" w:rsidP="0069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83" w:rsidRPr="00904CDE" w:rsidRDefault="00C838B2" w:rsidP="00FA459E">
    <w:pPr>
      <w:pStyle w:val="Header"/>
      <w:ind w:hanging="360"/>
      <w:jc w:val="right"/>
      <w:rPr>
        <w:rFonts w:cs="Times New Roman"/>
      </w:rPr>
    </w:pPr>
    <w:r w:rsidRPr="00514B5B">
      <w:rPr>
        <w:rFonts w:cs="Times New Roman"/>
        <w:i/>
      </w:rPr>
      <w:tab/>
    </w:r>
    <w:r w:rsidR="00A54983" w:rsidRPr="00EB33DA">
      <w:rPr>
        <w:rFonts w:ascii="Franklin Gothic Medium" w:hAnsi="Franklin Gothic Medium"/>
        <w:i/>
      </w:rPr>
      <w:tab/>
    </w:r>
    <w:r w:rsidR="00A54983" w:rsidRPr="00904CDE">
      <w:rPr>
        <w:rFonts w:cs="Times New Roman"/>
      </w:rPr>
      <w:fldChar w:fldCharType="begin"/>
    </w:r>
    <w:r w:rsidR="00A54983" w:rsidRPr="00904CDE">
      <w:rPr>
        <w:rFonts w:cs="Times New Roman"/>
      </w:rPr>
      <w:instrText xml:space="preserve"> PAGE   \* MERGEFORMAT </w:instrText>
    </w:r>
    <w:r w:rsidR="00A54983" w:rsidRPr="00904CDE">
      <w:rPr>
        <w:rFonts w:cs="Times New Roman"/>
      </w:rPr>
      <w:fldChar w:fldCharType="separate"/>
    </w:r>
    <w:r w:rsidR="00CA2F14">
      <w:rPr>
        <w:rFonts w:cs="Times New Roman"/>
        <w:noProof/>
      </w:rPr>
      <w:t>1</w:t>
    </w:r>
    <w:r w:rsidR="00A54983" w:rsidRPr="00904CDE"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853"/>
    <w:multiLevelType w:val="multilevel"/>
    <w:tmpl w:val="30E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10E73"/>
    <w:multiLevelType w:val="multilevel"/>
    <w:tmpl w:val="FB1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5D83"/>
    <w:multiLevelType w:val="multilevel"/>
    <w:tmpl w:val="5AF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12F98"/>
    <w:multiLevelType w:val="multilevel"/>
    <w:tmpl w:val="529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10679"/>
    <w:multiLevelType w:val="hybridMultilevel"/>
    <w:tmpl w:val="E38A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04F10"/>
    <w:multiLevelType w:val="hybridMultilevel"/>
    <w:tmpl w:val="366C4038"/>
    <w:lvl w:ilvl="0" w:tplc="A8BCAC24">
      <w:start w:val="1"/>
      <w:numFmt w:val="decimal"/>
      <w:pStyle w:val="Question"/>
      <w:lvlText w:val="%1."/>
      <w:lvlJc w:val="left"/>
      <w:pPr>
        <w:ind w:left="720" w:hanging="360"/>
      </w:pPr>
    </w:lvl>
    <w:lvl w:ilvl="1" w:tplc="2796F4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F0D"/>
    <w:multiLevelType w:val="multilevel"/>
    <w:tmpl w:val="6DA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418F8"/>
    <w:multiLevelType w:val="multilevel"/>
    <w:tmpl w:val="5AE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95A30"/>
    <w:multiLevelType w:val="multilevel"/>
    <w:tmpl w:val="5AE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96DFC"/>
    <w:multiLevelType w:val="hybridMultilevel"/>
    <w:tmpl w:val="CEA2B508"/>
    <w:lvl w:ilvl="0" w:tplc="36AEF9CA">
      <w:start w:val="1"/>
      <w:numFmt w:val="upperLetter"/>
      <w:pStyle w:val="Answ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C5023"/>
    <w:multiLevelType w:val="multilevel"/>
    <w:tmpl w:val="6DA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F5E04"/>
    <w:multiLevelType w:val="hybridMultilevel"/>
    <w:tmpl w:val="DB82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66341"/>
    <w:multiLevelType w:val="multilevel"/>
    <w:tmpl w:val="6DA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5124D"/>
    <w:multiLevelType w:val="multilevel"/>
    <w:tmpl w:val="9D9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A3314"/>
    <w:multiLevelType w:val="multilevel"/>
    <w:tmpl w:val="7DF8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541E0"/>
    <w:multiLevelType w:val="multilevel"/>
    <w:tmpl w:val="0A52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011C2"/>
    <w:multiLevelType w:val="hybridMultilevel"/>
    <w:tmpl w:val="ABCA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61FAA"/>
    <w:multiLevelType w:val="multilevel"/>
    <w:tmpl w:val="F82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60140"/>
    <w:multiLevelType w:val="hybridMultilevel"/>
    <w:tmpl w:val="4A6EB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8"/>
    <w:rsid w:val="00016895"/>
    <w:rsid w:val="000403D0"/>
    <w:rsid w:val="000D4FBA"/>
    <w:rsid w:val="000F625F"/>
    <w:rsid w:val="0014711D"/>
    <w:rsid w:val="00172772"/>
    <w:rsid w:val="00184540"/>
    <w:rsid w:val="00194A88"/>
    <w:rsid w:val="00227D4E"/>
    <w:rsid w:val="00277623"/>
    <w:rsid w:val="002A3550"/>
    <w:rsid w:val="002E498D"/>
    <w:rsid w:val="00344441"/>
    <w:rsid w:val="00364634"/>
    <w:rsid w:val="00364E16"/>
    <w:rsid w:val="003E059B"/>
    <w:rsid w:val="004573E6"/>
    <w:rsid w:val="004B5F04"/>
    <w:rsid w:val="004F14F9"/>
    <w:rsid w:val="004F777B"/>
    <w:rsid w:val="0050625C"/>
    <w:rsid w:val="005122F8"/>
    <w:rsid w:val="00514B5B"/>
    <w:rsid w:val="005234A5"/>
    <w:rsid w:val="00565118"/>
    <w:rsid w:val="005713F2"/>
    <w:rsid w:val="006976DB"/>
    <w:rsid w:val="006D42C8"/>
    <w:rsid w:val="00770C77"/>
    <w:rsid w:val="007E7267"/>
    <w:rsid w:val="007F4AC8"/>
    <w:rsid w:val="008A442C"/>
    <w:rsid w:val="008A58D5"/>
    <w:rsid w:val="008E11FF"/>
    <w:rsid w:val="008E1975"/>
    <w:rsid w:val="008E75BB"/>
    <w:rsid w:val="00904CDE"/>
    <w:rsid w:val="00986104"/>
    <w:rsid w:val="00995D38"/>
    <w:rsid w:val="00995DE8"/>
    <w:rsid w:val="009E1305"/>
    <w:rsid w:val="009F5598"/>
    <w:rsid w:val="00A54983"/>
    <w:rsid w:val="00AA3A56"/>
    <w:rsid w:val="00AB07F6"/>
    <w:rsid w:val="00AD2EBE"/>
    <w:rsid w:val="00AE3047"/>
    <w:rsid w:val="00B37E7B"/>
    <w:rsid w:val="00B4172D"/>
    <w:rsid w:val="00B662DE"/>
    <w:rsid w:val="00BC4663"/>
    <w:rsid w:val="00C34A1E"/>
    <w:rsid w:val="00C74B16"/>
    <w:rsid w:val="00C838B2"/>
    <w:rsid w:val="00CA2F14"/>
    <w:rsid w:val="00CC4D8F"/>
    <w:rsid w:val="00D157DB"/>
    <w:rsid w:val="00D5426D"/>
    <w:rsid w:val="00DA77EA"/>
    <w:rsid w:val="00DE4629"/>
    <w:rsid w:val="00E14F23"/>
    <w:rsid w:val="00EB33DA"/>
    <w:rsid w:val="00F43E18"/>
    <w:rsid w:val="00F672B3"/>
    <w:rsid w:val="00FA459E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54947"/>
  <w15:docId w15:val="{B414E8E9-6366-47B4-9C80-15B93336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62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9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D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E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s">
    <w:name w:val="CourseHeadings"/>
    <w:basedOn w:val="Normal"/>
    <w:qFormat/>
    <w:rsid w:val="00364E16"/>
    <w:pPr>
      <w:keepNext/>
      <w:pBdr>
        <w:top w:val="single" w:sz="4" w:space="1" w:color="auto"/>
        <w:bottom w:val="single" w:sz="4" w:space="1" w:color="auto"/>
      </w:pBdr>
      <w:spacing w:before="80"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Outline">
    <w:name w:val="CourseOutline"/>
    <w:basedOn w:val="Normal"/>
    <w:qFormat/>
    <w:rsid w:val="00364E16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Subheadings">
    <w:name w:val="CourseSubheadings"/>
    <w:basedOn w:val="CourseHeadings"/>
    <w:qFormat/>
    <w:rsid w:val="00364E16"/>
    <w:pPr>
      <w:pBdr>
        <w:top w:val="none" w:sz="0" w:space="0" w:color="auto"/>
      </w:pBdr>
      <w:spacing w:before="100" w:beforeAutospacing="1" w:after="100" w:afterAutospacing="1"/>
    </w:pPr>
  </w:style>
  <w:style w:type="paragraph" w:customStyle="1" w:styleId="Answers">
    <w:name w:val="Answers"/>
    <w:basedOn w:val="ListParagraph"/>
    <w:qFormat/>
    <w:rsid w:val="00B662DE"/>
    <w:pPr>
      <w:numPr>
        <w:numId w:val="11"/>
      </w:numPr>
      <w:spacing w:after="0" w:line="240" w:lineRule="auto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B662DE"/>
    <w:pPr>
      <w:ind w:left="720"/>
      <w:contextualSpacing/>
    </w:pPr>
  </w:style>
  <w:style w:type="paragraph" w:customStyle="1" w:styleId="Question">
    <w:name w:val="Question"/>
    <w:basedOn w:val="Normal"/>
    <w:qFormat/>
    <w:rsid w:val="00B662DE"/>
    <w:pPr>
      <w:keepNext/>
      <w:numPr>
        <w:numId w:val="12"/>
      </w:numPr>
      <w:spacing w:before="200" w:line="240" w:lineRule="auto"/>
    </w:pPr>
    <w:rPr>
      <w:rFonts w:eastAsia="Times New Roman" w:cs="Times New Roman"/>
      <w:b/>
      <w:sz w:val="22"/>
    </w:rPr>
  </w:style>
  <w:style w:type="paragraph" w:customStyle="1" w:styleId="SgBody">
    <w:name w:val="Sg_Body"/>
    <w:qFormat/>
    <w:rsid w:val="00B662DE"/>
    <w:pPr>
      <w:spacing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B662DE"/>
    <w:pPr>
      <w:tabs>
        <w:tab w:val="right" w:pos="9720"/>
      </w:tabs>
    </w:pPr>
    <w:rPr>
      <w:rFonts w:ascii="Franklin Gothic Medium" w:eastAsia="Calibri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B662DE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B662DE"/>
    <w:pPr>
      <w:tabs>
        <w:tab w:val="right" w:pos="9720"/>
      </w:tabs>
    </w:pPr>
    <w:rPr>
      <w:rFonts w:ascii="Franklin Gothic Medium" w:eastAsia="Calibri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B662DE"/>
    <w:rPr>
      <w:sz w:val="32"/>
    </w:rPr>
  </w:style>
  <w:style w:type="paragraph" w:customStyle="1" w:styleId="Sgsubsubhead">
    <w:name w:val="Sg_subsubhead"/>
    <w:basedOn w:val="SgBody"/>
    <w:qFormat/>
    <w:rsid w:val="00B662DE"/>
    <w:pPr>
      <w:keepNext/>
    </w:pPr>
    <w:rPr>
      <w:rFonts w:ascii="Franklin Gothic Heavy" w:hAnsi="Franklin Gothic Heavy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106D-9DBE-4FB4-8D12-FD3CF8DC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Naomi Yencich</cp:lastModifiedBy>
  <cp:revision>2</cp:revision>
  <cp:lastPrinted>2015-09-15T19:02:00Z</cp:lastPrinted>
  <dcterms:created xsi:type="dcterms:W3CDTF">2016-09-15T15:21:00Z</dcterms:created>
  <dcterms:modified xsi:type="dcterms:W3CDTF">2016-09-15T15:21:00Z</dcterms:modified>
</cp:coreProperties>
</file>