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EE" w:rsidRPr="004D08EE" w:rsidRDefault="004D08EE" w:rsidP="004D08EE">
      <w:pPr>
        <w:rPr>
          <w:rFonts w:ascii="Impact" w:hAnsi="Impact"/>
          <w:i/>
          <w:snapToGrid w:val="0"/>
          <w:sz w:val="40"/>
        </w:rPr>
      </w:pPr>
      <w:r>
        <w:rPr>
          <w:noProof/>
        </w:rPr>
        <w:drawing>
          <wp:anchor distT="0" distB="0" distL="114300" distR="114300" simplePos="0" relativeHeight="251658240" behindDoc="0" locked="0" layoutInCell="1" allowOverlap="0">
            <wp:simplePos x="0" y="0"/>
            <wp:positionH relativeFrom="column">
              <wp:posOffset>51435</wp:posOffset>
            </wp:positionH>
            <wp:positionV relativeFrom="paragraph">
              <wp:posOffset>-111760</wp:posOffset>
            </wp:positionV>
            <wp:extent cx="800100" cy="800100"/>
            <wp:effectExtent l="0" t="0" r="0" b="0"/>
            <wp:wrapSquare wrapText="bothSides"/>
            <wp:docPr id="3" name="Picture 3" descr="a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EE">
        <w:rPr>
          <w:rFonts w:ascii="Impact" w:hAnsi="Impact"/>
          <w:i/>
          <w:snapToGrid w:val="0"/>
          <w:sz w:val="40"/>
        </w:rPr>
        <w:t>AETech Electrical Training Center</w:t>
      </w:r>
    </w:p>
    <w:p w:rsidR="004D08EE" w:rsidRPr="004D08EE" w:rsidRDefault="004D08EE" w:rsidP="004D08EE">
      <w:pPr>
        <w:rPr>
          <w:rFonts w:ascii="Impact" w:hAnsi="Impact"/>
          <w:i/>
          <w:snapToGrid w:val="0"/>
          <w:sz w:val="40"/>
        </w:rPr>
      </w:pPr>
      <w:r w:rsidRPr="004D08EE">
        <w:rPr>
          <w:rFonts w:ascii="Impact" w:hAnsi="Impact"/>
          <w:i/>
          <w:snapToGrid w:val="0"/>
          <w:sz w:val="40"/>
        </w:rPr>
        <w:t>Arne Electro-Tech Seminars</w:t>
      </w:r>
    </w:p>
    <w:p w:rsidR="004D08EE" w:rsidRPr="004D08EE" w:rsidRDefault="004D08EE" w:rsidP="004D08EE">
      <w:pPr>
        <w:ind w:left="5040" w:firstLine="720"/>
        <w:jc w:val="center"/>
        <w:rPr>
          <w:rFonts w:ascii="Impact" w:hAnsi="Impact"/>
          <w:i/>
          <w:snapToGrid w:val="0"/>
          <w:sz w:val="40"/>
        </w:rPr>
      </w:pPr>
      <w:r>
        <w:rPr>
          <w:snapToGrid w:val="0"/>
          <w:sz w:val="24"/>
        </w:rPr>
        <w:t xml:space="preserve">                                   </w:t>
      </w:r>
      <w:r w:rsidRPr="004D08EE">
        <w:rPr>
          <w:snapToGrid w:val="0"/>
          <w:sz w:val="24"/>
        </w:rPr>
        <w:t>P</w:t>
      </w:r>
      <w:r>
        <w:rPr>
          <w:snapToGrid w:val="0"/>
          <w:sz w:val="24"/>
        </w:rPr>
        <w:t>.</w:t>
      </w:r>
      <w:r w:rsidRPr="004D08EE">
        <w:rPr>
          <w:snapToGrid w:val="0"/>
          <w:sz w:val="24"/>
        </w:rPr>
        <w:t>O</w:t>
      </w:r>
      <w:r>
        <w:rPr>
          <w:snapToGrid w:val="0"/>
          <w:sz w:val="24"/>
        </w:rPr>
        <w:t>.</w:t>
      </w:r>
      <w:r w:rsidRPr="004D08EE">
        <w:rPr>
          <w:snapToGrid w:val="0"/>
          <w:sz w:val="24"/>
        </w:rPr>
        <w:t xml:space="preserve"> Box 2272</w:t>
      </w:r>
    </w:p>
    <w:p w:rsidR="004D08EE" w:rsidRPr="004D08EE" w:rsidRDefault="004D08EE" w:rsidP="004D08EE">
      <w:pPr>
        <w:pBdr>
          <w:bottom w:val="single" w:sz="24" w:space="0" w:color="auto"/>
        </w:pBdr>
        <w:rPr>
          <w:snapToGrid w:val="0"/>
          <w:sz w:val="16"/>
        </w:rPr>
      </w:pPr>
      <w:r w:rsidRPr="004D08EE">
        <w:rPr>
          <w:snapToGrid w:val="0"/>
          <w:sz w:val="24"/>
        </w:rPr>
        <w:t>Steve Arne</w:t>
      </w:r>
      <w:r w:rsidRPr="004D08EE">
        <w:rPr>
          <w:snapToGrid w:val="0"/>
          <w:sz w:val="24"/>
        </w:rPr>
        <w:tab/>
      </w:r>
      <w:r w:rsidRPr="004D08EE">
        <w:rPr>
          <w:snapToGrid w:val="0"/>
          <w:sz w:val="24"/>
        </w:rPr>
        <w:tab/>
      </w:r>
      <w:r w:rsidRPr="004D08EE">
        <w:rPr>
          <w:snapToGrid w:val="0"/>
          <w:sz w:val="24"/>
        </w:rPr>
        <w:tab/>
      </w:r>
      <w:r w:rsidRPr="004D08EE">
        <w:rPr>
          <w:snapToGrid w:val="0"/>
          <w:sz w:val="24"/>
        </w:rPr>
        <w:tab/>
      </w:r>
      <w:r w:rsidRPr="004D08EE">
        <w:rPr>
          <w:snapToGrid w:val="0"/>
          <w:sz w:val="24"/>
        </w:rPr>
        <w:tab/>
      </w:r>
      <w:r w:rsidRPr="004D08EE">
        <w:rPr>
          <w:snapToGrid w:val="0"/>
          <w:sz w:val="24"/>
        </w:rPr>
        <w:tab/>
      </w:r>
      <w:r w:rsidRPr="004D08EE">
        <w:rPr>
          <w:snapToGrid w:val="0"/>
          <w:sz w:val="24"/>
        </w:rPr>
        <w:tab/>
        <w:t xml:space="preserve">        </w:t>
      </w:r>
      <w:r w:rsidRPr="004D08EE">
        <w:rPr>
          <w:snapToGrid w:val="0"/>
          <w:sz w:val="24"/>
        </w:rPr>
        <w:tab/>
        <w:t xml:space="preserve">         </w:t>
      </w:r>
      <w:r>
        <w:rPr>
          <w:snapToGrid w:val="0"/>
          <w:sz w:val="24"/>
        </w:rPr>
        <w:t xml:space="preserve">  </w:t>
      </w:r>
      <w:r w:rsidRPr="004D08EE">
        <w:rPr>
          <w:snapToGrid w:val="0"/>
          <w:sz w:val="24"/>
        </w:rPr>
        <w:t xml:space="preserve"> Rapid City, SD 57709</w:t>
      </w:r>
    </w:p>
    <w:p w:rsidR="004D08EE" w:rsidRPr="004D08EE" w:rsidRDefault="004D08EE" w:rsidP="004D08EE">
      <w:pPr>
        <w:rPr>
          <w:snapToGrid w:val="0"/>
          <w:sz w:val="24"/>
        </w:rPr>
      </w:pPr>
      <w:r w:rsidRPr="004D08EE">
        <w:rPr>
          <w:snapToGrid w:val="0"/>
          <w:sz w:val="24"/>
        </w:rPr>
        <w:t xml:space="preserve">Email:  </w:t>
      </w:r>
      <w:hyperlink r:id="rId8" w:history="1">
        <w:r w:rsidRPr="004D08EE">
          <w:rPr>
            <w:snapToGrid w:val="0"/>
            <w:color w:val="0000FF"/>
            <w:sz w:val="24"/>
            <w:u w:val="single"/>
          </w:rPr>
          <w:t>office@aetech.com</w:t>
        </w:r>
      </w:hyperlink>
      <w:r w:rsidRPr="004D08EE">
        <w:rPr>
          <w:snapToGrid w:val="0"/>
          <w:sz w:val="24"/>
        </w:rPr>
        <w:tab/>
      </w:r>
      <w:r w:rsidRPr="004D08EE">
        <w:rPr>
          <w:snapToGrid w:val="0"/>
          <w:sz w:val="24"/>
        </w:rPr>
        <w:tab/>
      </w:r>
      <w:r w:rsidRPr="004D08EE">
        <w:rPr>
          <w:snapToGrid w:val="0"/>
          <w:sz w:val="24"/>
        </w:rPr>
        <w:tab/>
      </w:r>
      <w:r w:rsidRPr="004D08EE">
        <w:rPr>
          <w:snapToGrid w:val="0"/>
          <w:sz w:val="24"/>
        </w:rPr>
        <w:tab/>
      </w:r>
      <w:r w:rsidRPr="004D08EE">
        <w:rPr>
          <w:snapToGrid w:val="0"/>
          <w:sz w:val="24"/>
        </w:rPr>
        <w:tab/>
      </w:r>
      <w:r w:rsidRPr="004D08EE">
        <w:rPr>
          <w:snapToGrid w:val="0"/>
          <w:sz w:val="24"/>
        </w:rPr>
        <w:tab/>
        <w:t xml:space="preserve">        </w:t>
      </w:r>
      <w:r>
        <w:rPr>
          <w:snapToGrid w:val="0"/>
          <w:sz w:val="24"/>
        </w:rPr>
        <w:t xml:space="preserve">  </w:t>
      </w:r>
      <w:r w:rsidRPr="004D08EE">
        <w:rPr>
          <w:snapToGrid w:val="0"/>
          <w:sz w:val="24"/>
        </w:rPr>
        <w:t xml:space="preserve">Phone: (605) 342-9088 </w:t>
      </w:r>
    </w:p>
    <w:p w:rsidR="00D85AF1" w:rsidRDefault="00D85AF1" w:rsidP="00392D2E">
      <w:pPr>
        <w:widowControl w:val="0"/>
        <w:tabs>
          <w:tab w:val="left" w:pos="0"/>
          <w:tab w:val="center" w:pos="4320"/>
          <w:tab w:val="right" w:pos="8640"/>
          <w:tab w:val="left" w:pos="9360"/>
        </w:tabs>
        <w:jc w:val="center"/>
        <w:rPr>
          <w:b/>
          <w:noProof/>
          <w:sz w:val="36"/>
          <w:szCs w:val="36"/>
        </w:rPr>
      </w:pPr>
    </w:p>
    <w:p w:rsidR="004D08EE" w:rsidRPr="00392D2E" w:rsidRDefault="004D08EE" w:rsidP="00392D2E">
      <w:pPr>
        <w:widowControl w:val="0"/>
        <w:tabs>
          <w:tab w:val="left" w:pos="0"/>
          <w:tab w:val="center" w:pos="4320"/>
          <w:tab w:val="right" w:pos="8640"/>
          <w:tab w:val="left" w:pos="9360"/>
        </w:tabs>
        <w:jc w:val="center"/>
        <w:rPr>
          <w:b/>
          <w:noProof/>
          <w:sz w:val="36"/>
          <w:szCs w:val="36"/>
        </w:rPr>
      </w:pPr>
      <w:r w:rsidRPr="004D08EE">
        <w:rPr>
          <w:b/>
          <w:noProof/>
          <w:sz w:val="36"/>
          <w:szCs w:val="36"/>
        </w:rPr>
        <w:t>Continuing Education for the Electrical Professional</w:t>
      </w:r>
    </w:p>
    <w:p w:rsidR="004D08EE" w:rsidRDefault="004D08EE" w:rsidP="004D08EE">
      <w:pPr>
        <w:rPr>
          <w:noProof/>
          <w:sz w:val="22"/>
          <w:szCs w:val="22"/>
        </w:rPr>
      </w:pPr>
    </w:p>
    <w:p w:rsidR="00C74F10" w:rsidRPr="003B0C40" w:rsidRDefault="00C74F10" w:rsidP="00C74F10">
      <w:pPr>
        <w:rPr>
          <w:snapToGrid w:val="0"/>
          <w:sz w:val="16"/>
          <w:szCs w:val="16"/>
        </w:rPr>
      </w:pPr>
    </w:p>
    <w:p w:rsidR="00C74F10" w:rsidRPr="00C43724" w:rsidRDefault="00C74F10" w:rsidP="00C74F10">
      <w:pPr>
        <w:rPr>
          <w:noProof/>
          <w:sz w:val="22"/>
          <w:szCs w:val="22"/>
        </w:rPr>
      </w:pPr>
      <w:r w:rsidRPr="00C43724">
        <w:rPr>
          <w:noProof/>
          <w:sz w:val="22"/>
          <w:szCs w:val="22"/>
        </w:rPr>
        <w:t>Course:</w:t>
      </w:r>
      <w:r w:rsidRPr="00C43724">
        <w:rPr>
          <w:noProof/>
          <w:sz w:val="22"/>
          <w:szCs w:val="22"/>
        </w:rPr>
        <w:tab/>
      </w:r>
      <w:r>
        <w:rPr>
          <w:noProof/>
          <w:sz w:val="22"/>
          <w:szCs w:val="22"/>
        </w:rPr>
        <w:tab/>
      </w:r>
      <w:r>
        <w:rPr>
          <w:noProof/>
          <w:sz w:val="22"/>
          <w:szCs w:val="22"/>
        </w:rPr>
        <w:t xml:space="preserve">2017 NEC </w:t>
      </w:r>
      <w:r>
        <w:rPr>
          <w:noProof/>
          <w:sz w:val="22"/>
          <w:szCs w:val="22"/>
        </w:rPr>
        <w:t>Grounding vs. Bonding, 8 hour, 1-day p</w:t>
      </w:r>
      <w:r w:rsidRPr="00C43724">
        <w:rPr>
          <w:noProof/>
          <w:sz w:val="22"/>
          <w:szCs w:val="22"/>
        </w:rPr>
        <w:t>rogram</w:t>
      </w:r>
    </w:p>
    <w:p w:rsidR="00C74F10" w:rsidRDefault="00C74F10" w:rsidP="00C74F10">
      <w:pPr>
        <w:rPr>
          <w:noProof/>
          <w:sz w:val="22"/>
          <w:szCs w:val="22"/>
        </w:rPr>
      </w:pPr>
      <w:r>
        <w:rPr>
          <w:noProof/>
          <w:sz w:val="22"/>
          <w:szCs w:val="22"/>
        </w:rPr>
        <w:t>Schedule:</w:t>
      </w:r>
      <w:r>
        <w:rPr>
          <w:noProof/>
          <w:sz w:val="22"/>
          <w:szCs w:val="22"/>
        </w:rPr>
        <w:tab/>
        <w:t>8:00 a.m. – 5:00 p.m. each day; sign-in starts at 7:30 a.m.</w:t>
      </w:r>
    </w:p>
    <w:p w:rsidR="00C74F10" w:rsidRPr="00C43724" w:rsidRDefault="00C74F10" w:rsidP="00C74F10">
      <w:pPr>
        <w:ind w:left="1440" w:hanging="1440"/>
        <w:rPr>
          <w:noProof/>
          <w:sz w:val="22"/>
          <w:szCs w:val="22"/>
        </w:rPr>
      </w:pPr>
      <w:r w:rsidRPr="00C43724">
        <w:rPr>
          <w:noProof/>
          <w:sz w:val="22"/>
          <w:szCs w:val="22"/>
        </w:rPr>
        <w:t>Format:</w:t>
      </w:r>
      <w:r w:rsidRPr="00C43724">
        <w:rPr>
          <w:noProof/>
          <w:sz w:val="22"/>
          <w:szCs w:val="22"/>
        </w:rPr>
        <w:tab/>
      </w:r>
      <w:r>
        <w:rPr>
          <w:noProof/>
          <w:sz w:val="22"/>
          <w:szCs w:val="22"/>
        </w:rPr>
        <w:t xml:space="preserve"> </w:t>
      </w:r>
      <w:r w:rsidRPr="00C43724">
        <w:rPr>
          <w:noProof/>
          <w:sz w:val="22"/>
          <w:szCs w:val="22"/>
        </w:rPr>
        <w:t>Lecture format using Power Point slides and in-class discussion</w:t>
      </w:r>
      <w:r>
        <w:rPr>
          <w:noProof/>
          <w:sz w:val="22"/>
          <w:szCs w:val="22"/>
        </w:rPr>
        <w:t xml:space="preserve"> over Mike Holt’s Grounding vs. Bonding book, changes made to this edition.</w:t>
      </w:r>
    </w:p>
    <w:p w:rsidR="00C74F10" w:rsidRDefault="00C74F10" w:rsidP="00C74F10">
      <w:pPr>
        <w:ind w:left="1440" w:hanging="1440"/>
        <w:rPr>
          <w:noProof/>
          <w:sz w:val="22"/>
          <w:szCs w:val="22"/>
        </w:rPr>
      </w:pPr>
      <w:r>
        <w:rPr>
          <w:noProof/>
          <w:sz w:val="22"/>
          <w:szCs w:val="22"/>
        </w:rPr>
        <w:t>Text book:</w:t>
      </w:r>
      <w:r>
        <w:rPr>
          <w:noProof/>
          <w:sz w:val="22"/>
          <w:szCs w:val="22"/>
        </w:rPr>
        <w:tab/>
      </w:r>
      <w:r w:rsidR="00D50F7E">
        <w:rPr>
          <w:noProof/>
          <w:sz w:val="22"/>
          <w:szCs w:val="22"/>
        </w:rPr>
        <w:t xml:space="preserve">2017 </w:t>
      </w:r>
      <w:bookmarkStart w:id="0" w:name="_GoBack"/>
      <w:bookmarkEnd w:id="0"/>
      <w:r>
        <w:rPr>
          <w:noProof/>
          <w:sz w:val="22"/>
          <w:szCs w:val="22"/>
        </w:rPr>
        <w:t>National Electrical Code</w:t>
      </w:r>
    </w:p>
    <w:p w:rsidR="00C74F10" w:rsidRDefault="00C74F10" w:rsidP="00C74F10">
      <w:pPr>
        <w:ind w:left="1440" w:hanging="1440"/>
        <w:rPr>
          <w:noProof/>
          <w:sz w:val="22"/>
          <w:szCs w:val="22"/>
        </w:rPr>
      </w:pPr>
      <w:r w:rsidRPr="00C43724">
        <w:rPr>
          <w:noProof/>
          <w:sz w:val="22"/>
          <w:szCs w:val="22"/>
        </w:rPr>
        <w:t>Instructor:</w:t>
      </w:r>
      <w:r w:rsidRPr="00C43724">
        <w:rPr>
          <w:noProof/>
          <w:sz w:val="22"/>
          <w:szCs w:val="22"/>
        </w:rPr>
        <w:tab/>
      </w:r>
      <w:r>
        <w:rPr>
          <w:noProof/>
          <w:sz w:val="22"/>
          <w:szCs w:val="22"/>
        </w:rPr>
        <w:t>Jeff Larus,</w:t>
      </w:r>
      <w:r w:rsidRPr="00C43724">
        <w:rPr>
          <w:noProof/>
          <w:sz w:val="22"/>
          <w:szCs w:val="22"/>
        </w:rPr>
        <w:t xml:space="preserve"> Master Electrician, </w:t>
      </w:r>
      <w:r>
        <w:rPr>
          <w:noProof/>
          <w:sz w:val="22"/>
          <w:szCs w:val="22"/>
        </w:rPr>
        <w:t xml:space="preserve">Licensed </w:t>
      </w:r>
      <w:r w:rsidRPr="00C43724">
        <w:rPr>
          <w:noProof/>
          <w:sz w:val="22"/>
          <w:szCs w:val="22"/>
        </w:rPr>
        <w:t>Electrical Inspector</w:t>
      </w:r>
    </w:p>
    <w:p w:rsidR="00C74F10" w:rsidRDefault="00C74F10" w:rsidP="00C74F10">
      <w:pPr>
        <w:ind w:left="720" w:hanging="720"/>
        <w:rPr>
          <w:snapToGrid w:val="0"/>
          <w:sz w:val="22"/>
          <w:szCs w:val="22"/>
        </w:rPr>
      </w:pPr>
      <w:r w:rsidRPr="00C43724">
        <w:rPr>
          <w:snapToGrid w:val="0"/>
          <w:sz w:val="22"/>
          <w:szCs w:val="22"/>
        </w:rPr>
        <w:t>Objectives:</w:t>
      </w:r>
      <w:r w:rsidRPr="00C43724">
        <w:rPr>
          <w:snapToGrid w:val="0"/>
          <w:sz w:val="22"/>
          <w:szCs w:val="22"/>
        </w:rPr>
        <w:tab/>
      </w:r>
      <w:r>
        <w:rPr>
          <w:snapToGrid w:val="0"/>
          <w:sz w:val="22"/>
          <w:szCs w:val="22"/>
        </w:rPr>
        <w:t xml:space="preserve">Provide a review of important Code requirements regarding Grounding vs. </w:t>
      </w:r>
    </w:p>
    <w:p w:rsidR="00C74F10" w:rsidRPr="00FD5D7A" w:rsidRDefault="00C74F10" w:rsidP="00C74F10">
      <w:pPr>
        <w:ind w:left="2160" w:hanging="720"/>
        <w:rPr>
          <w:i/>
          <w:snapToGrid w:val="0"/>
          <w:sz w:val="22"/>
          <w:szCs w:val="22"/>
        </w:rPr>
      </w:pPr>
      <w:proofErr w:type="gramStart"/>
      <w:r>
        <w:rPr>
          <w:snapToGrid w:val="0"/>
          <w:sz w:val="22"/>
          <w:szCs w:val="22"/>
        </w:rPr>
        <w:t>Bonding.</w:t>
      </w:r>
      <w:proofErr w:type="gramEnd"/>
    </w:p>
    <w:p w:rsidR="00C74F10" w:rsidRDefault="00C74F10" w:rsidP="00C74F10">
      <w:pPr>
        <w:ind w:left="720" w:hanging="720"/>
        <w:rPr>
          <w:snapToGrid w:val="0"/>
          <w:sz w:val="22"/>
          <w:szCs w:val="22"/>
        </w:rPr>
      </w:pPr>
      <w:r w:rsidRPr="00C43724">
        <w:rPr>
          <w:snapToGrid w:val="0"/>
          <w:sz w:val="22"/>
          <w:szCs w:val="22"/>
        </w:rPr>
        <w:t xml:space="preserve">Criteria used to identify successful course completion: </w:t>
      </w:r>
    </w:p>
    <w:p w:rsidR="00C74F10" w:rsidRPr="003B0C40" w:rsidRDefault="00C74F10" w:rsidP="00C74F10">
      <w:pPr>
        <w:ind w:left="720" w:hanging="720"/>
        <w:rPr>
          <w:sz w:val="16"/>
          <w:szCs w:val="16"/>
        </w:rPr>
      </w:pPr>
      <w:r>
        <w:rPr>
          <w:snapToGrid w:val="0"/>
          <w:sz w:val="22"/>
          <w:szCs w:val="22"/>
        </w:rPr>
        <w:tab/>
      </w:r>
      <w:r>
        <w:rPr>
          <w:snapToGrid w:val="0"/>
          <w:sz w:val="22"/>
          <w:szCs w:val="22"/>
        </w:rPr>
        <w:tab/>
        <w:t>D</w:t>
      </w:r>
      <w:r w:rsidRPr="00C43724">
        <w:rPr>
          <w:snapToGrid w:val="0"/>
          <w:sz w:val="22"/>
          <w:szCs w:val="22"/>
        </w:rPr>
        <w:t>aily attendance sign-in sheets and instructor observation of attendance/application.</w:t>
      </w:r>
    </w:p>
    <w:p w:rsidR="00C74F10" w:rsidRPr="00C43724" w:rsidRDefault="00C74F10" w:rsidP="00C74F10">
      <w:pPr>
        <w:rPr>
          <w:sz w:val="22"/>
          <w:szCs w:val="22"/>
        </w:rPr>
      </w:pPr>
      <w:r w:rsidRPr="00C43724">
        <w:rPr>
          <w:b/>
          <w:sz w:val="22"/>
          <w:szCs w:val="22"/>
        </w:rPr>
        <w:t>Course Outline</w:t>
      </w:r>
      <w:r w:rsidRPr="00C43724">
        <w:rPr>
          <w:sz w:val="22"/>
          <w:szCs w:val="22"/>
        </w:rPr>
        <w:t>:</w:t>
      </w:r>
      <w:r w:rsidRPr="00C43724">
        <w:rPr>
          <w:sz w:val="22"/>
          <w:szCs w:val="22"/>
        </w:rPr>
        <w:tab/>
      </w:r>
    </w:p>
    <w:p w:rsidR="00C74F10" w:rsidRDefault="00C74F10" w:rsidP="00C74F10">
      <w:pPr>
        <w:rPr>
          <w:b/>
          <w:snapToGrid w:val="0"/>
          <w:sz w:val="22"/>
          <w:szCs w:val="22"/>
        </w:rPr>
      </w:pPr>
    </w:p>
    <w:p w:rsidR="00C74F10" w:rsidRPr="00C43724" w:rsidRDefault="00C74F10" w:rsidP="00C74F10">
      <w:pPr>
        <w:rPr>
          <w:snapToGrid w:val="0"/>
          <w:sz w:val="22"/>
          <w:szCs w:val="22"/>
        </w:rPr>
      </w:pPr>
      <w:r>
        <w:rPr>
          <w:b/>
          <w:snapToGrid w:val="0"/>
          <w:sz w:val="22"/>
          <w:szCs w:val="22"/>
        </w:rPr>
        <w:tab/>
      </w:r>
      <w:r>
        <w:rPr>
          <w:b/>
          <w:snapToGrid w:val="0"/>
          <w:sz w:val="22"/>
          <w:szCs w:val="22"/>
        </w:rPr>
        <w:tab/>
      </w:r>
      <w:r>
        <w:rPr>
          <w:b/>
          <w:snapToGrid w:val="0"/>
          <w:sz w:val="22"/>
          <w:szCs w:val="22"/>
        </w:rPr>
        <w:tab/>
      </w:r>
      <w:r w:rsidRPr="00C43724">
        <w:rPr>
          <w:snapToGrid w:val="0"/>
          <w:sz w:val="22"/>
          <w:szCs w:val="22"/>
        </w:rPr>
        <w:tab/>
      </w:r>
      <w:r>
        <w:rPr>
          <w:rFonts w:ascii="Arial" w:hAnsi="Arial"/>
          <w:b/>
          <w:sz w:val="22"/>
          <w:szCs w:val="22"/>
        </w:rPr>
        <w:t>Part I. General</w:t>
      </w:r>
      <w:r w:rsidRPr="00C43724">
        <w:rPr>
          <w:rFonts w:ascii="Arial" w:hAnsi="Arial"/>
          <w:b/>
          <w:sz w:val="22"/>
          <w:szCs w:val="22"/>
        </w:rPr>
        <w:tab/>
      </w:r>
      <w:r w:rsidRPr="00C43724">
        <w:rPr>
          <w:rFonts w:ascii="Arial" w:hAnsi="Arial"/>
          <w:b/>
          <w:sz w:val="22"/>
          <w:szCs w:val="22"/>
        </w:rPr>
        <w:tab/>
      </w:r>
      <w:r w:rsidRPr="00C43724">
        <w:rPr>
          <w:snapToGrid w:val="0"/>
          <w:sz w:val="22"/>
          <w:szCs w:val="22"/>
        </w:rPr>
        <w:tab/>
      </w:r>
      <w:r w:rsidRPr="00C43724">
        <w:rPr>
          <w:snapToGrid w:val="0"/>
          <w:sz w:val="22"/>
          <w:szCs w:val="22"/>
        </w:rPr>
        <w:tab/>
      </w:r>
    </w:p>
    <w:p w:rsidR="00C74F10" w:rsidRDefault="00C74F10" w:rsidP="00C74F10">
      <w:pPr>
        <w:rPr>
          <w:snapToGrid w:val="0"/>
          <w:sz w:val="22"/>
          <w:szCs w:val="22"/>
        </w:rPr>
      </w:pPr>
      <w:r w:rsidRPr="00C43724">
        <w:rPr>
          <w:snapToGrid w:val="0"/>
          <w:sz w:val="22"/>
          <w:szCs w:val="22"/>
        </w:rPr>
        <w:tab/>
      </w:r>
      <w:r w:rsidRPr="00C43724">
        <w:rPr>
          <w:snapToGrid w:val="0"/>
          <w:sz w:val="22"/>
          <w:szCs w:val="22"/>
        </w:rPr>
        <w:tab/>
      </w:r>
      <w:r w:rsidRPr="00C43724">
        <w:rPr>
          <w:snapToGrid w:val="0"/>
          <w:sz w:val="22"/>
          <w:szCs w:val="22"/>
        </w:rPr>
        <w:tab/>
      </w:r>
      <w:r w:rsidRPr="00C43724">
        <w:rPr>
          <w:snapToGrid w:val="0"/>
          <w:sz w:val="22"/>
          <w:szCs w:val="22"/>
        </w:rPr>
        <w:tab/>
      </w:r>
      <w:r>
        <w:rPr>
          <w:snapToGrid w:val="0"/>
          <w:sz w:val="22"/>
          <w:szCs w:val="22"/>
        </w:rPr>
        <w:t>Scope: 250.1</w:t>
      </w:r>
    </w:p>
    <w:p w:rsidR="00C74F10" w:rsidRDefault="00C74F10" w:rsidP="00C74F10">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Definition: 250.2</w:t>
      </w:r>
    </w:p>
    <w:p w:rsidR="00C74F10" w:rsidRDefault="00C74F10" w:rsidP="00C74F10">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General Requirements for Grounding and Bonding: 250.4</w:t>
      </w:r>
    </w:p>
    <w:p w:rsidR="00C74F10" w:rsidRDefault="00C74F10" w:rsidP="00C74F10">
      <w:pPr>
        <w:rPr>
          <w:snapToGrid w:val="0"/>
          <w:sz w:val="22"/>
          <w:szCs w:val="22"/>
        </w:rPr>
      </w:pPr>
      <w:r>
        <w:rPr>
          <w:snapToGrid w:val="0"/>
          <w:sz w:val="22"/>
          <w:szCs w:val="22"/>
        </w:rPr>
        <w:t xml:space="preserve"> </w:t>
      </w:r>
      <w:r>
        <w:rPr>
          <w:snapToGrid w:val="0"/>
          <w:sz w:val="22"/>
          <w:szCs w:val="22"/>
        </w:rPr>
        <w:tab/>
      </w:r>
      <w:r>
        <w:rPr>
          <w:snapToGrid w:val="0"/>
          <w:sz w:val="22"/>
          <w:szCs w:val="22"/>
        </w:rPr>
        <w:tab/>
      </w:r>
      <w:r>
        <w:rPr>
          <w:snapToGrid w:val="0"/>
          <w:sz w:val="22"/>
          <w:szCs w:val="22"/>
        </w:rPr>
        <w:tab/>
      </w:r>
      <w:r>
        <w:rPr>
          <w:snapToGrid w:val="0"/>
          <w:sz w:val="22"/>
          <w:szCs w:val="22"/>
        </w:rPr>
        <w:tab/>
        <w:t>Objectionable Current: 250.6</w:t>
      </w:r>
    </w:p>
    <w:p w:rsidR="00C74F10" w:rsidRDefault="00C74F10" w:rsidP="00C74F10">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Termination of Grounding and Bonding Conductors: 250.8</w:t>
      </w:r>
    </w:p>
    <w:p w:rsidR="00C74F10" w:rsidRDefault="00C74F10" w:rsidP="00C74F10">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Protection of Fittings: 250.10</w:t>
      </w:r>
    </w:p>
    <w:p w:rsidR="00C74F10" w:rsidRDefault="00C74F10" w:rsidP="00C74F10">
      <w:pPr>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t>Clean Surfaces: 250.12</w:t>
      </w:r>
    </w:p>
    <w:p w:rsidR="00C74F10" w:rsidRPr="00C43724" w:rsidRDefault="00C74F10" w:rsidP="00C74F10">
      <w:pPr>
        <w:rPr>
          <w:sz w:val="22"/>
          <w:szCs w:val="22"/>
        </w:rPr>
      </w:pPr>
    </w:p>
    <w:p w:rsidR="00C74F10" w:rsidRPr="00C43724" w:rsidRDefault="00C74F10" w:rsidP="00C74F10">
      <w:pPr>
        <w:rPr>
          <w:sz w:val="22"/>
          <w:szCs w:val="22"/>
        </w:rPr>
      </w:pPr>
      <w:r>
        <w:rPr>
          <w:b/>
          <w:snapToGrid w:val="0"/>
          <w:sz w:val="22"/>
          <w:szCs w:val="22"/>
        </w:rPr>
        <w:tab/>
      </w:r>
      <w:r>
        <w:rPr>
          <w:b/>
          <w:snapToGrid w:val="0"/>
          <w:sz w:val="22"/>
          <w:szCs w:val="22"/>
        </w:rPr>
        <w:tab/>
      </w:r>
      <w:r>
        <w:rPr>
          <w:b/>
          <w:snapToGrid w:val="0"/>
          <w:sz w:val="22"/>
          <w:szCs w:val="22"/>
        </w:rPr>
        <w:tab/>
      </w:r>
      <w:r>
        <w:rPr>
          <w:b/>
          <w:snapToGrid w:val="0"/>
          <w:sz w:val="22"/>
          <w:szCs w:val="22"/>
        </w:rPr>
        <w:tab/>
      </w:r>
      <w:r>
        <w:rPr>
          <w:rFonts w:ascii="Arial" w:hAnsi="Arial"/>
          <w:b/>
          <w:sz w:val="22"/>
          <w:szCs w:val="22"/>
        </w:rPr>
        <w:t>Part II. System Grounding and Bonding</w:t>
      </w:r>
    </w:p>
    <w:p w:rsidR="00C74F10" w:rsidRPr="00C43724" w:rsidRDefault="00C74F10" w:rsidP="00C74F10">
      <w:pPr>
        <w:rPr>
          <w:sz w:val="22"/>
          <w:szCs w:val="22"/>
        </w:rPr>
      </w:pPr>
      <w:r w:rsidRPr="00C43724">
        <w:rPr>
          <w:rFonts w:ascii="Arial" w:hAnsi="Arial"/>
          <w:sz w:val="22"/>
          <w:szCs w:val="22"/>
        </w:rPr>
        <w:tab/>
      </w:r>
      <w:r w:rsidRPr="00C43724">
        <w:rPr>
          <w:rFonts w:ascii="Arial" w:hAnsi="Arial"/>
          <w:sz w:val="22"/>
          <w:szCs w:val="22"/>
        </w:rPr>
        <w:tab/>
      </w:r>
      <w:r w:rsidRPr="00C43724">
        <w:rPr>
          <w:rFonts w:ascii="Arial" w:hAnsi="Arial"/>
          <w:sz w:val="22"/>
          <w:szCs w:val="22"/>
        </w:rPr>
        <w:tab/>
      </w:r>
      <w:r w:rsidRPr="00C43724">
        <w:rPr>
          <w:sz w:val="22"/>
          <w:szCs w:val="22"/>
        </w:rPr>
        <w:tab/>
      </w:r>
      <w:r>
        <w:rPr>
          <w:sz w:val="22"/>
          <w:szCs w:val="22"/>
        </w:rPr>
        <w:t xml:space="preserve">Systems </w:t>
      </w:r>
      <w:proofErr w:type="gramStart"/>
      <w:r>
        <w:rPr>
          <w:sz w:val="22"/>
          <w:szCs w:val="22"/>
        </w:rPr>
        <w:t>Required</w:t>
      </w:r>
      <w:proofErr w:type="gramEnd"/>
      <w:r>
        <w:rPr>
          <w:sz w:val="22"/>
          <w:szCs w:val="22"/>
        </w:rPr>
        <w:t xml:space="preserve"> to be Grounded: 250.20</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Ungrounded Systems—50V to 1,000V: 250.21</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Service Equipment—Grounding and Bonding: 250.24</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Main Bonding</w:t>
      </w:r>
      <w:r w:rsidRPr="00C43724">
        <w:rPr>
          <w:sz w:val="22"/>
          <w:szCs w:val="22"/>
        </w:rPr>
        <w:t xml:space="preserve"> </w:t>
      </w:r>
      <w:r>
        <w:rPr>
          <w:sz w:val="22"/>
          <w:szCs w:val="22"/>
        </w:rPr>
        <w:t>Jumper and System Bonding Jumper: 250.28</w:t>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Separately Derived Systems—Grounding and Bonding: 250.30</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Buildings Supplied by a Feeder: 250.32</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Generators—Portable and Vehicle-Mounted: 250.34</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Permanently Installed Generators: 250.35</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High-Impedance Grounded Systems: 250.36</w:t>
      </w:r>
    </w:p>
    <w:p w:rsidR="00C74F10" w:rsidRDefault="00C74F10" w:rsidP="00C74F10">
      <w:pPr>
        <w:rPr>
          <w:sz w:val="22"/>
          <w:szCs w:val="22"/>
        </w:rPr>
      </w:pPr>
    </w:p>
    <w:p w:rsidR="00C74F10" w:rsidRDefault="00C74F10" w:rsidP="00C74F10">
      <w:pPr>
        <w:rPr>
          <w:sz w:val="22"/>
          <w:szCs w:val="22"/>
        </w:rPr>
      </w:pPr>
    </w:p>
    <w:p w:rsidR="00C74F10" w:rsidRPr="00C43724" w:rsidRDefault="00C74F10" w:rsidP="00C74F10">
      <w:pPr>
        <w:rPr>
          <w:sz w:val="22"/>
          <w:szCs w:val="22"/>
        </w:rPr>
      </w:pPr>
    </w:p>
    <w:p w:rsidR="00C74F10" w:rsidRDefault="00C74F10" w:rsidP="00C74F10">
      <w:pPr>
        <w:rPr>
          <w:rFonts w:ascii="Arial" w:hAnsi="Arial" w:cs="Arial"/>
          <w:b/>
          <w:snapToGrid w:val="0"/>
          <w:sz w:val="22"/>
          <w:szCs w:val="22"/>
        </w:rPr>
      </w:pPr>
      <w:r>
        <w:rPr>
          <w:b/>
          <w:snapToGrid w:val="0"/>
          <w:sz w:val="22"/>
          <w:szCs w:val="22"/>
        </w:rPr>
        <w:tab/>
      </w:r>
      <w:r>
        <w:rPr>
          <w:b/>
          <w:snapToGrid w:val="0"/>
          <w:sz w:val="22"/>
          <w:szCs w:val="22"/>
        </w:rPr>
        <w:tab/>
      </w:r>
      <w:r>
        <w:rPr>
          <w:b/>
          <w:snapToGrid w:val="0"/>
          <w:sz w:val="22"/>
          <w:szCs w:val="22"/>
        </w:rPr>
        <w:tab/>
      </w:r>
      <w:r>
        <w:rPr>
          <w:snapToGrid w:val="0"/>
          <w:sz w:val="22"/>
          <w:szCs w:val="22"/>
        </w:rPr>
        <w:tab/>
      </w:r>
      <w:r w:rsidRPr="004353D7">
        <w:rPr>
          <w:rFonts w:ascii="Arial" w:hAnsi="Arial" w:cs="Arial"/>
          <w:b/>
          <w:snapToGrid w:val="0"/>
          <w:sz w:val="22"/>
          <w:szCs w:val="22"/>
        </w:rPr>
        <w:t>Part III</w:t>
      </w:r>
      <w:r>
        <w:rPr>
          <w:rFonts w:ascii="Arial" w:hAnsi="Arial" w:cs="Arial"/>
          <w:b/>
          <w:snapToGrid w:val="0"/>
          <w:sz w:val="22"/>
          <w:szCs w:val="22"/>
        </w:rPr>
        <w:t xml:space="preserve">. Grounding Electrode System and Grounding </w:t>
      </w:r>
    </w:p>
    <w:p w:rsidR="00C74F10" w:rsidRPr="004353D7" w:rsidRDefault="00C74F10" w:rsidP="00C74F10">
      <w:pPr>
        <w:rPr>
          <w:rFonts w:ascii="Arial" w:hAnsi="Arial" w:cs="Arial"/>
          <w:b/>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Electrode Conductor</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Grounding Electrode System: 250.50</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Grounding Electrode Types: 250.52</w:t>
      </w:r>
      <w:r w:rsidRPr="00C43724">
        <w:rPr>
          <w:sz w:val="22"/>
          <w:szCs w:val="22"/>
        </w:rPr>
        <w:t xml:space="preserve"> </w:t>
      </w:r>
    </w:p>
    <w:p w:rsidR="00C74F10" w:rsidRPr="00C43724" w:rsidRDefault="00C74F10" w:rsidP="00C74F10">
      <w:pPr>
        <w:rPr>
          <w:sz w:val="22"/>
          <w:szCs w:val="22"/>
        </w:rPr>
      </w:pPr>
      <w:r w:rsidRPr="00C43724">
        <w:rPr>
          <w:sz w:val="22"/>
          <w:szCs w:val="22"/>
        </w:rPr>
        <w:lastRenderedPageBreak/>
        <w:tab/>
      </w:r>
      <w:r w:rsidRPr="00C43724">
        <w:rPr>
          <w:sz w:val="22"/>
          <w:szCs w:val="22"/>
        </w:rPr>
        <w:tab/>
      </w:r>
      <w:r w:rsidRPr="00C43724">
        <w:rPr>
          <w:sz w:val="22"/>
          <w:szCs w:val="22"/>
        </w:rPr>
        <w:tab/>
      </w:r>
      <w:r w:rsidRPr="00C43724">
        <w:rPr>
          <w:sz w:val="22"/>
          <w:szCs w:val="22"/>
        </w:rPr>
        <w:tab/>
      </w:r>
      <w:r>
        <w:rPr>
          <w:sz w:val="22"/>
          <w:szCs w:val="22"/>
        </w:rPr>
        <w:t>Grounding Electrode Installation Requirements: 250.53</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Auxiliary Grounding Electrodes: 250.54</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Lightning Protection Electrode: 250.60</w:t>
      </w:r>
      <w:r w:rsidRPr="00C43724">
        <w:rPr>
          <w:sz w:val="22"/>
          <w:szCs w:val="22"/>
        </w:rPr>
        <w:t xml:space="preserve"> </w:t>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Grounding Electrode Conductor: 250.62</w:t>
      </w:r>
      <w:r w:rsidRPr="00C43724">
        <w:rPr>
          <w:sz w:val="22"/>
          <w:szCs w:val="22"/>
        </w:rPr>
        <w:t xml:space="preserve"> </w:t>
      </w:r>
      <w:r w:rsidRPr="00C43724">
        <w:rPr>
          <w:sz w:val="22"/>
          <w:szCs w:val="22"/>
        </w:rPr>
        <w:tab/>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Pr>
          <w:sz w:val="22"/>
          <w:szCs w:val="22"/>
        </w:rPr>
        <w:tab/>
        <w:t>Grounding Electrode Conductor Installation: 250.64</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Sizing Grounding Electrode Conductor: 250.66</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Termination to the Grounding Electrode: 250.68</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Grounding Electrode Conductor Termination Fittings: 250.70</w:t>
      </w:r>
    </w:p>
    <w:p w:rsidR="00C74F10" w:rsidRPr="00C43724" w:rsidRDefault="00C74F10" w:rsidP="00C74F10">
      <w:pPr>
        <w:rPr>
          <w:sz w:val="22"/>
          <w:szCs w:val="22"/>
        </w:rPr>
      </w:pPr>
    </w:p>
    <w:p w:rsidR="00C74F10" w:rsidRDefault="00C74F10" w:rsidP="00C74F10">
      <w:pPr>
        <w:rPr>
          <w:rFonts w:ascii="Arial" w:hAnsi="Arial"/>
          <w:b/>
          <w:sz w:val="22"/>
          <w:szCs w:val="22"/>
        </w:rPr>
      </w:pPr>
      <w:r>
        <w:rPr>
          <w:b/>
          <w:snapToGrid w:val="0"/>
          <w:sz w:val="22"/>
          <w:szCs w:val="22"/>
        </w:rPr>
        <w:tab/>
      </w:r>
      <w:r>
        <w:rPr>
          <w:b/>
          <w:snapToGrid w:val="0"/>
          <w:sz w:val="22"/>
          <w:szCs w:val="22"/>
        </w:rPr>
        <w:tab/>
      </w:r>
      <w:r>
        <w:rPr>
          <w:b/>
          <w:snapToGrid w:val="0"/>
          <w:sz w:val="22"/>
          <w:szCs w:val="22"/>
        </w:rPr>
        <w:tab/>
      </w:r>
      <w:r>
        <w:rPr>
          <w:b/>
          <w:snapToGrid w:val="0"/>
          <w:sz w:val="22"/>
          <w:szCs w:val="22"/>
        </w:rPr>
        <w:tab/>
      </w:r>
      <w:r>
        <w:rPr>
          <w:rFonts w:ascii="Arial" w:hAnsi="Arial"/>
          <w:b/>
          <w:sz w:val="22"/>
          <w:szCs w:val="22"/>
        </w:rPr>
        <w:t>Part IV. Grounding Enclosure, Raceway, and Service Cable</w:t>
      </w:r>
    </w:p>
    <w:p w:rsidR="00C74F10" w:rsidRPr="00C43724" w:rsidRDefault="00C74F10" w:rsidP="00C74F10">
      <w:pPr>
        <w:rPr>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Connections</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Service Raceways and Enclosures: 250.80</w:t>
      </w:r>
      <w:r w:rsidRPr="00C43724">
        <w:rPr>
          <w:sz w:val="22"/>
          <w:szCs w:val="22"/>
        </w:rPr>
        <w:t xml:space="preserve"> </w:t>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Other Enclosures: 250.86</w:t>
      </w:r>
      <w:r w:rsidRPr="00C43724">
        <w:rPr>
          <w:sz w:val="22"/>
          <w:szCs w:val="22"/>
        </w:rPr>
        <w:t xml:space="preserve"> </w:t>
      </w:r>
    </w:p>
    <w:p w:rsidR="00C74F10" w:rsidRPr="00C43724" w:rsidRDefault="00C74F10" w:rsidP="00C74F10">
      <w:pPr>
        <w:rPr>
          <w:sz w:val="22"/>
          <w:szCs w:val="22"/>
        </w:rPr>
      </w:pPr>
    </w:p>
    <w:p w:rsidR="00C74F10" w:rsidRPr="00C501E3" w:rsidRDefault="00C74F10" w:rsidP="00C74F10">
      <w:pPr>
        <w:rPr>
          <w:rFonts w:ascii="Arial" w:hAnsi="Arial" w:cs="Arial"/>
          <w:b/>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rFonts w:ascii="Arial" w:hAnsi="Arial" w:cs="Arial"/>
          <w:b/>
          <w:sz w:val="22"/>
          <w:szCs w:val="22"/>
        </w:rPr>
        <w:t>Part V. Bonding</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General: 250.90</w:t>
      </w:r>
      <w:r w:rsidRPr="00C43724">
        <w:rPr>
          <w:sz w:val="22"/>
          <w:szCs w:val="22"/>
        </w:rPr>
        <w:t xml:space="preserve"> </w:t>
      </w:r>
    </w:p>
    <w:p w:rsidR="00C74F10" w:rsidRPr="00C43724"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Bonding Equipment for Services: 250.92</w:t>
      </w:r>
      <w:r w:rsidRPr="00C43724">
        <w:rPr>
          <w:sz w:val="22"/>
          <w:szCs w:val="22"/>
        </w:rPr>
        <w:t xml:space="preserve"> </w:t>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Intersystem Bonding Termination: 250.94</w:t>
      </w:r>
      <w:r w:rsidRPr="00C43724">
        <w:rPr>
          <w:sz w:val="22"/>
          <w:szCs w:val="22"/>
        </w:rPr>
        <w:t xml:space="preserve"> </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Other Enclosures: 250.96</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Metal Parts Containing 277V and 480V Circuits: 250.97</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Loosely Jointed Metal Raceways: 250.98</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in Hazardous (Classified) Locations: 250.100</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Conductors and Jumpers: 250.102</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Bonding of Piping Systems and Exposed Structural Metal: 250.104</w:t>
      </w: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t>Lightning Protection System: 250.106</w:t>
      </w:r>
    </w:p>
    <w:p w:rsidR="00C74F10" w:rsidRDefault="00C74F10" w:rsidP="00C74F10">
      <w:pPr>
        <w:rPr>
          <w:sz w:val="22"/>
          <w:szCs w:val="22"/>
        </w:rPr>
      </w:pPr>
    </w:p>
    <w:p w:rsidR="00C74F10" w:rsidRDefault="00C74F10" w:rsidP="00C74F10">
      <w:pPr>
        <w:rPr>
          <w:sz w:val="22"/>
          <w:szCs w:val="22"/>
        </w:rPr>
      </w:pPr>
      <w:r>
        <w:rPr>
          <w:sz w:val="22"/>
          <w:szCs w:val="22"/>
        </w:rPr>
        <w:tab/>
      </w:r>
      <w:r>
        <w:rPr>
          <w:sz w:val="22"/>
          <w:szCs w:val="22"/>
        </w:rPr>
        <w:tab/>
      </w:r>
      <w:r>
        <w:rPr>
          <w:sz w:val="22"/>
          <w:szCs w:val="22"/>
        </w:rPr>
        <w:tab/>
      </w:r>
      <w:r>
        <w:rPr>
          <w:sz w:val="22"/>
          <w:szCs w:val="22"/>
        </w:rPr>
        <w:tab/>
      </w:r>
    </w:p>
    <w:p w:rsidR="00C74F10" w:rsidRDefault="00C74F10" w:rsidP="00C74F10">
      <w:pPr>
        <w:ind w:left="2880"/>
        <w:rPr>
          <w:rFonts w:ascii="Arial" w:hAnsi="Arial" w:cs="Arial"/>
          <w:b/>
          <w:sz w:val="22"/>
          <w:szCs w:val="22"/>
        </w:rPr>
      </w:pPr>
      <w:r>
        <w:rPr>
          <w:rFonts w:ascii="Arial" w:hAnsi="Arial" w:cs="Arial"/>
          <w:b/>
          <w:sz w:val="22"/>
          <w:szCs w:val="22"/>
        </w:rPr>
        <w:t xml:space="preserve">Part VI. Equipment Grounding and Equipment </w:t>
      </w:r>
    </w:p>
    <w:p w:rsidR="00C74F10" w:rsidRPr="00C501E3" w:rsidRDefault="00C74F10" w:rsidP="00C74F10">
      <w:pPr>
        <w:ind w:left="2160" w:firstLine="720"/>
        <w:rPr>
          <w:rFonts w:ascii="Arial" w:hAnsi="Arial" w:cs="Arial"/>
          <w:b/>
          <w:sz w:val="22"/>
          <w:szCs w:val="22"/>
        </w:rPr>
      </w:pPr>
      <w:r>
        <w:rPr>
          <w:rFonts w:ascii="Arial" w:hAnsi="Arial" w:cs="Arial"/>
          <w:b/>
          <w:sz w:val="22"/>
          <w:szCs w:val="22"/>
        </w:rPr>
        <w:t>Grounding Conductors</w:t>
      </w:r>
    </w:p>
    <w:p w:rsidR="00C74F10" w:rsidRDefault="00C74F10" w:rsidP="00C74F10">
      <w:pPr>
        <w:rPr>
          <w:sz w:val="22"/>
          <w:szCs w:val="22"/>
        </w:rPr>
      </w:pPr>
      <w:r w:rsidRPr="00C43724">
        <w:rPr>
          <w:sz w:val="22"/>
          <w:szCs w:val="22"/>
        </w:rPr>
        <w:tab/>
      </w:r>
      <w:r w:rsidRPr="00C43724">
        <w:rPr>
          <w:sz w:val="22"/>
          <w:szCs w:val="22"/>
        </w:rPr>
        <w:tab/>
      </w:r>
      <w:r w:rsidRPr="00C43724">
        <w:rPr>
          <w:sz w:val="22"/>
          <w:szCs w:val="22"/>
        </w:rPr>
        <w:tab/>
      </w:r>
      <w:r w:rsidRPr="00C43724">
        <w:rPr>
          <w:sz w:val="22"/>
          <w:szCs w:val="22"/>
        </w:rPr>
        <w:tab/>
      </w:r>
      <w:r>
        <w:rPr>
          <w:sz w:val="22"/>
          <w:szCs w:val="22"/>
        </w:rPr>
        <w:t xml:space="preserve">Fixed Equipment Connected by Permanent Wiring </w:t>
      </w:r>
    </w:p>
    <w:p w:rsidR="00C74F10" w:rsidRPr="00C43724" w:rsidRDefault="00C74F10" w:rsidP="00C74F10">
      <w:pPr>
        <w:ind w:left="2880" w:firstLine="720"/>
        <w:rPr>
          <w:sz w:val="22"/>
          <w:szCs w:val="22"/>
        </w:rPr>
      </w:pPr>
      <w:r>
        <w:rPr>
          <w:sz w:val="22"/>
          <w:szCs w:val="22"/>
        </w:rPr>
        <w:t>Methods—General: 250.110</w:t>
      </w:r>
      <w:r w:rsidRPr="00C43724">
        <w:rPr>
          <w:sz w:val="22"/>
          <w:szCs w:val="22"/>
        </w:rPr>
        <w:t xml:space="preserve"> </w:t>
      </w:r>
    </w:p>
    <w:p w:rsidR="00C74F10" w:rsidRDefault="00C74F10" w:rsidP="00C74F10">
      <w:pPr>
        <w:ind w:left="2880"/>
        <w:rPr>
          <w:sz w:val="22"/>
          <w:szCs w:val="22"/>
        </w:rPr>
      </w:pPr>
      <w:r>
        <w:rPr>
          <w:sz w:val="22"/>
          <w:szCs w:val="22"/>
        </w:rPr>
        <w:t xml:space="preserve">Specific Equipment Fastened in Place or Connected by permanent </w:t>
      </w:r>
    </w:p>
    <w:p w:rsidR="00C74F10" w:rsidRDefault="00C74F10" w:rsidP="00C74F10">
      <w:pPr>
        <w:ind w:left="2880"/>
        <w:rPr>
          <w:sz w:val="22"/>
          <w:szCs w:val="22"/>
        </w:rPr>
      </w:pPr>
      <w:r>
        <w:rPr>
          <w:sz w:val="22"/>
          <w:szCs w:val="22"/>
        </w:rPr>
        <w:tab/>
        <w:t>Wiring Methods: 250.112</w:t>
      </w:r>
      <w:r w:rsidRPr="00C43724">
        <w:rPr>
          <w:sz w:val="22"/>
          <w:szCs w:val="22"/>
        </w:rPr>
        <w:t xml:space="preserve"> </w:t>
      </w:r>
    </w:p>
    <w:p w:rsidR="00C74F10" w:rsidRDefault="00C74F10" w:rsidP="00C74F10">
      <w:pPr>
        <w:ind w:left="2880"/>
        <w:rPr>
          <w:sz w:val="22"/>
          <w:szCs w:val="22"/>
        </w:rPr>
      </w:pPr>
      <w:r>
        <w:rPr>
          <w:sz w:val="22"/>
          <w:szCs w:val="22"/>
        </w:rPr>
        <w:t>Cord-and Plug-Connected Equipment: 250.114</w:t>
      </w:r>
    </w:p>
    <w:p w:rsidR="00C74F10" w:rsidRDefault="00C74F10" w:rsidP="00C74F10">
      <w:pPr>
        <w:ind w:left="2880"/>
        <w:rPr>
          <w:sz w:val="22"/>
          <w:szCs w:val="22"/>
        </w:rPr>
      </w:pPr>
      <w:r>
        <w:rPr>
          <w:sz w:val="22"/>
          <w:szCs w:val="22"/>
        </w:rPr>
        <w:t>Types of Equipment Grounding Conductors: 250.118</w:t>
      </w:r>
    </w:p>
    <w:p w:rsidR="00C74F10" w:rsidRDefault="00C74F10" w:rsidP="00C74F10">
      <w:pPr>
        <w:ind w:left="2880"/>
        <w:rPr>
          <w:sz w:val="22"/>
          <w:szCs w:val="22"/>
        </w:rPr>
      </w:pPr>
      <w:r>
        <w:rPr>
          <w:sz w:val="22"/>
          <w:szCs w:val="22"/>
        </w:rPr>
        <w:t>Identification of Equipment Grounding Conductors: 250.119</w:t>
      </w:r>
    </w:p>
    <w:p w:rsidR="00C74F10" w:rsidRDefault="00C74F10" w:rsidP="00C74F10">
      <w:pPr>
        <w:ind w:left="2880"/>
        <w:rPr>
          <w:sz w:val="22"/>
          <w:szCs w:val="22"/>
        </w:rPr>
      </w:pPr>
      <w:r>
        <w:rPr>
          <w:sz w:val="22"/>
          <w:szCs w:val="22"/>
        </w:rPr>
        <w:t>Equipment Grounding Conductor Installation: 250.120</w:t>
      </w:r>
    </w:p>
    <w:p w:rsidR="00C74F10" w:rsidRDefault="00C74F10" w:rsidP="00C74F10">
      <w:pPr>
        <w:ind w:left="2880"/>
        <w:rPr>
          <w:sz w:val="22"/>
          <w:szCs w:val="22"/>
        </w:rPr>
      </w:pPr>
      <w:r>
        <w:rPr>
          <w:sz w:val="22"/>
          <w:szCs w:val="22"/>
        </w:rPr>
        <w:t>Use of Equipment Grounding Conductors: 250.121</w:t>
      </w:r>
    </w:p>
    <w:p w:rsidR="00C74F10" w:rsidRDefault="00C74F10" w:rsidP="00C74F10">
      <w:pPr>
        <w:ind w:left="2880"/>
        <w:rPr>
          <w:sz w:val="22"/>
          <w:szCs w:val="22"/>
        </w:rPr>
      </w:pPr>
      <w:r>
        <w:rPr>
          <w:sz w:val="22"/>
          <w:szCs w:val="22"/>
        </w:rPr>
        <w:t>Sizing Equipment Grounding Conductor: 250.122</w:t>
      </w:r>
    </w:p>
    <w:p w:rsidR="00C74F10" w:rsidRDefault="00C74F10" w:rsidP="00C74F10">
      <w:pPr>
        <w:ind w:left="2880"/>
        <w:rPr>
          <w:sz w:val="22"/>
          <w:szCs w:val="22"/>
        </w:rPr>
      </w:pPr>
    </w:p>
    <w:p w:rsidR="00C74F10" w:rsidRDefault="00C74F10" w:rsidP="00C74F10">
      <w:pPr>
        <w:ind w:left="2880"/>
        <w:rPr>
          <w:rFonts w:ascii="Arial" w:hAnsi="Arial" w:cs="Arial"/>
          <w:b/>
          <w:sz w:val="22"/>
          <w:szCs w:val="22"/>
        </w:rPr>
      </w:pPr>
      <w:r>
        <w:rPr>
          <w:rFonts w:ascii="Arial" w:hAnsi="Arial" w:cs="Arial"/>
          <w:b/>
          <w:sz w:val="22"/>
          <w:szCs w:val="22"/>
        </w:rPr>
        <w:t>Part VII: Methods of Equipment Grounding</w:t>
      </w:r>
    </w:p>
    <w:p w:rsidR="00C74F10" w:rsidRDefault="00C74F10" w:rsidP="00C74F10">
      <w:pPr>
        <w:ind w:left="2880"/>
        <w:rPr>
          <w:sz w:val="22"/>
          <w:szCs w:val="22"/>
        </w:rPr>
      </w:pPr>
      <w:r>
        <w:rPr>
          <w:sz w:val="22"/>
          <w:szCs w:val="22"/>
        </w:rPr>
        <w:t>Equipment Grounding Conductor Connections: 250.130</w:t>
      </w:r>
    </w:p>
    <w:p w:rsidR="00C74F10" w:rsidRDefault="00C74F10" w:rsidP="00C74F10">
      <w:pPr>
        <w:ind w:left="2880"/>
        <w:rPr>
          <w:sz w:val="22"/>
          <w:szCs w:val="22"/>
        </w:rPr>
      </w:pPr>
      <w:r>
        <w:rPr>
          <w:sz w:val="22"/>
          <w:szCs w:val="22"/>
        </w:rPr>
        <w:t>Equipment Connected by Permanent Wiring Methods: 250.134</w:t>
      </w:r>
    </w:p>
    <w:p w:rsidR="00C74F10" w:rsidRDefault="00C74F10" w:rsidP="00C74F10">
      <w:pPr>
        <w:ind w:left="2880"/>
        <w:rPr>
          <w:sz w:val="22"/>
          <w:szCs w:val="22"/>
        </w:rPr>
      </w:pPr>
      <w:r>
        <w:rPr>
          <w:sz w:val="22"/>
          <w:szCs w:val="22"/>
        </w:rPr>
        <w:t>Equipment Considered Grounded: 250.136</w:t>
      </w:r>
    </w:p>
    <w:p w:rsidR="00C74F10" w:rsidRDefault="00C74F10" w:rsidP="00C74F10">
      <w:pPr>
        <w:ind w:left="2880"/>
        <w:rPr>
          <w:sz w:val="22"/>
          <w:szCs w:val="22"/>
        </w:rPr>
      </w:pPr>
      <w:r>
        <w:rPr>
          <w:sz w:val="22"/>
          <w:szCs w:val="22"/>
        </w:rPr>
        <w:t>Cord-and-Plug-Connected Equipment: 250.138</w:t>
      </w:r>
    </w:p>
    <w:p w:rsidR="00C74F10" w:rsidRDefault="00C74F10" w:rsidP="00C74F10">
      <w:pPr>
        <w:ind w:left="2880"/>
        <w:rPr>
          <w:sz w:val="22"/>
          <w:szCs w:val="22"/>
        </w:rPr>
      </w:pPr>
      <w:r>
        <w:rPr>
          <w:sz w:val="22"/>
          <w:szCs w:val="22"/>
        </w:rPr>
        <w:t>Ranges, Ovens, and Clothes Dryers: 250.140</w:t>
      </w:r>
    </w:p>
    <w:p w:rsidR="00C74F10" w:rsidRDefault="00C74F10" w:rsidP="00C74F10">
      <w:pPr>
        <w:ind w:left="2880"/>
        <w:rPr>
          <w:sz w:val="22"/>
          <w:szCs w:val="22"/>
        </w:rPr>
      </w:pPr>
      <w:r>
        <w:rPr>
          <w:sz w:val="22"/>
          <w:szCs w:val="22"/>
        </w:rPr>
        <w:t>Use of Neutral Conductor for Equipment Grounding: 250.142</w:t>
      </w:r>
    </w:p>
    <w:p w:rsidR="00C74F10" w:rsidRDefault="00C74F10" w:rsidP="00C74F10">
      <w:pPr>
        <w:ind w:left="2880"/>
        <w:rPr>
          <w:sz w:val="22"/>
          <w:szCs w:val="22"/>
        </w:rPr>
      </w:pPr>
      <w:r>
        <w:rPr>
          <w:sz w:val="22"/>
          <w:szCs w:val="22"/>
        </w:rPr>
        <w:t xml:space="preserve">Connecting Receptacle Grounding Terminal to </w:t>
      </w:r>
    </w:p>
    <w:p w:rsidR="00C74F10" w:rsidRDefault="00C74F10" w:rsidP="00C74F10">
      <w:pPr>
        <w:ind w:left="2880" w:firstLine="720"/>
        <w:rPr>
          <w:sz w:val="22"/>
          <w:szCs w:val="22"/>
        </w:rPr>
      </w:pPr>
      <w:r>
        <w:rPr>
          <w:sz w:val="22"/>
          <w:szCs w:val="22"/>
        </w:rPr>
        <w:t>Metal Enclosure: 250.146</w:t>
      </w:r>
    </w:p>
    <w:p w:rsidR="00C74F10" w:rsidRDefault="00C74F10" w:rsidP="00C74F10">
      <w:pPr>
        <w:ind w:left="2160" w:firstLine="720"/>
        <w:rPr>
          <w:sz w:val="22"/>
          <w:szCs w:val="22"/>
        </w:rPr>
      </w:pPr>
      <w:r>
        <w:rPr>
          <w:sz w:val="22"/>
          <w:szCs w:val="22"/>
        </w:rPr>
        <w:t>Continuity and Attachment of Equipment Grounding</w:t>
      </w:r>
    </w:p>
    <w:p w:rsidR="00C74F10" w:rsidRPr="00BA0728" w:rsidRDefault="00C74F10" w:rsidP="00C74F10">
      <w:pPr>
        <w:ind w:left="2160" w:firstLine="720"/>
        <w:rPr>
          <w:sz w:val="22"/>
          <w:szCs w:val="22"/>
        </w:rPr>
      </w:pPr>
      <w:r>
        <w:rPr>
          <w:sz w:val="22"/>
          <w:szCs w:val="22"/>
        </w:rPr>
        <w:tab/>
        <w:t>Conductors in Metal Boxes: 250.14</w:t>
      </w:r>
    </w:p>
    <w:p w:rsidR="00C74F10" w:rsidRDefault="00C74F10" w:rsidP="00C74F10">
      <w:pPr>
        <w:rPr>
          <w:snapToGrid w:val="0"/>
        </w:rPr>
      </w:pPr>
    </w:p>
    <w:p w:rsidR="00C74F10" w:rsidRDefault="00C74F10" w:rsidP="00C74F10">
      <w:pPr>
        <w:rPr>
          <w:snapToGrid w:val="0"/>
        </w:rPr>
      </w:pPr>
    </w:p>
    <w:p w:rsidR="00C74F10" w:rsidRDefault="00C74F10" w:rsidP="00C74F10">
      <w:pPr>
        <w:rPr>
          <w:snapToGrid w:val="0"/>
        </w:rPr>
      </w:pPr>
      <w:r w:rsidRPr="00335555">
        <w:rPr>
          <w:snapToGrid w:val="0"/>
        </w:rPr>
        <w:t>A</w:t>
      </w:r>
      <w:r>
        <w:rPr>
          <w:snapToGrid w:val="0"/>
        </w:rPr>
        <w:t>E</w:t>
      </w:r>
      <w:r w:rsidRPr="00335555">
        <w:rPr>
          <w:snapToGrid w:val="0"/>
        </w:rPr>
        <w:t xml:space="preserve">Tech </w:t>
      </w:r>
      <w:r>
        <w:rPr>
          <w:snapToGrid w:val="0"/>
        </w:rPr>
        <w:t xml:space="preserve">Electrical Training Center </w:t>
      </w:r>
      <w:r w:rsidRPr="00335555">
        <w:rPr>
          <w:snapToGrid w:val="0"/>
        </w:rPr>
        <w:t>pledges to do our best to provide the opportunity for a meaningful, quality learning experience</w:t>
      </w:r>
      <w:r w:rsidRPr="00335555">
        <w:rPr>
          <w:b/>
          <w:snapToGrid w:val="0"/>
        </w:rPr>
        <w:t>.</w:t>
      </w:r>
      <w:r>
        <w:rPr>
          <w:snapToGrid w:val="0"/>
        </w:rPr>
        <w:t xml:space="preserve">  Student involvement in the learning activities will provide the best opportunity to learn from the seminar.   AETech Inc.  and any Instructor in our employ (here-after corporately referred to as AETech) will provide technically and legally correct information to the best of our knowledge, however AETech does not take responsibility for any student application of the National Electrical Code or electrical wiring methods.  The final authority on any interpretation or application of the National Electrical Code is the Authority Having Jurisdiction, which in most cases is your local Inspector.  In registering for this seminar, the student acknowledges that AETech will serve as a learning facilitator, and the responsibility for correctly interpreting and applying the material studied lies with the student.  The student agrees to hold AETech harmless for any consequences of an electrical installation or undertaking which could be in any way construed to be a result from attendance at this seminar.  The student further agrees that the limit of liability for any claim of any nature arising from attendance at this seminar will be the refund of tuition paid, upon return of any books or materials included in the tuition cost.</w:t>
      </w:r>
    </w:p>
    <w:p w:rsidR="00C74F10" w:rsidRDefault="00C74F10" w:rsidP="00C74F10">
      <w:pPr>
        <w:rPr>
          <w:b/>
          <w:snapToGrid w:val="0"/>
        </w:rPr>
      </w:pPr>
    </w:p>
    <w:p w:rsidR="00C74F10" w:rsidRDefault="00C74F10" w:rsidP="00C74F10">
      <w:pPr>
        <w:widowControl w:val="0"/>
        <w:outlineLvl w:val="0"/>
        <w:rPr>
          <w:b/>
          <w:snapToGrid w:val="0"/>
          <w:sz w:val="24"/>
        </w:rPr>
      </w:pPr>
      <w:r>
        <w:rPr>
          <w:b/>
          <w:snapToGrid w:val="0"/>
          <w:sz w:val="24"/>
        </w:rPr>
        <w:t xml:space="preserve">Note:  </w:t>
      </w:r>
      <w:r>
        <w:t>State “reciprocal” acceptance of CEU classes can change without notice; be sure to check with the state from which you wish to receive credit to verify that they will accept our classes.</w:t>
      </w:r>
    </w:p>
    <w:p w:rsidR="00C74F10" w:rsidRDefault="00C74F10" w:rsidP="00C74F10">
      <w:pPr>
        <w:widowControl w:val="0"/>
        <w:outlineLvl w:val="0"/>
        <w:rPr>
          <w:b/>
          <w:snapToGrid w:val="0"/>
          <w:sz w:val="24"/>
        </w:rPr>
      </w:pPr>
    </w:p>
    <w:p w:rsidR="00C74F10" w:rsidRDefault="00C74F10" w:rsidP="00C74F10">
      <w:pPr>
        <w:widowControl w:val="0"/>
        <w:outlineLvl w:val="0"/>
        <w:rPr>
          <w:snapToGrid w:val="0"/>
          <w:sz w:val="24"/>
        </w:rPr>
      </w:pPr>
      <w:r>
        <w:rPr>
          <w:b/>
          <w:snapToGrid w:val="0"/>
          <w:sz w:val="24"/>
        </w:rPr>
        <w:t>References:</w:t>
      </w:r>
    </w:p>
    <w:p w:rsidR="00C74F10" w:rsidRDefault="00C74F10" w:rsidP="00C74F10">
      <w:pPr>
        <w:widowControl w:val="0"/>
        <w:rPr>
          <w:snapToGrid w:val="0"/>
        </w:rPr>
      </w:pPr>
      <w:r>
        <w:rPr>
          <w:snapToGrid w:val="0"/>
        </w:rPr>
        <w:t xml:space="preserve">All references herein to the National Electrical Code, "The code", or "NEC" are references to </w:t>
      </w:r>
      <w:r>
        <w:rPr>
          <w:snapToGrid w:val="0"/>
          <w:u w:val="single"/>
        </w:rPr>
        <w:t>The National Electrical Code,</w:t>
      </w:r>
      <w:r>
        <w:rPr>
          <w:snapToGrid w:val="0"/>
        </w:rPr>
        <w:t xml:space="preserve"> published by The National Fire Protection Association of </w:t>
      </w:r>
      <w:proofErr w:type="spellStart"/>
      <w:r>
        <w:rPr>
          <w:snapToGrid w:val="0"/>
        </w:rPr>
        <w:t>Batterymarch</w:t>
      </w:r>
      <w:proofErr w:type="spellEnd"/>
      <w:r>
        <w:rPr>
          <w:snapToGrid w:val="0"/>
        </w:rPr>
        <w:t xml:space="preserve"> Park, Quincy, MA.  </w:t>
      </w:r>
    </w:p>
    <w:p w:rsidR="00C74F10" w:rsidRDefault="00C74F10" w:rsidP="00C74F10">
      <w:pPr>
        <w:widowControl w:val="0"/>
        <w:rPr>
          <w:snapToGrid w:val="0"/>
        </w:rPr>
      </w:pPr>
    </w:p>
    <w:p w:rsidR="00C74F10" w:rsidRDefault="00C74F10" w:rsidP="00C74F10">
      <w:pPr>
        <w:widowControl w:val="0"/>
        <w:rPr>
          <w:snapToGrid w:val="0"/>
        </w:rPr>
      </w:pPr>
      <w:r>
        <w:rPr>
          <w:snapToGrid w:val="0"/>
        </w:rPr>
        <w:t xml:space="preserve">Mike Holt’s Illustrated Guide to Understanding NEC Requirements for Grounding vs. Bonding; Based on the NEC Electrical Code Book. </w:t>
      </w:r>
    </w:p>
    <w:p w:rsidR="00C74F10" w:rsidRDefault="00C74F10" w:rsidP="00C74F10"/>
    <w:p w:rsidR="00C74F10" w:rsidRPr="0083366A" w:rsidRDefault="00C74F10" w:rsidP="00C74F10">
      <w:pPr>
        <w:rPr>
          <w:noProof/>
          <w:sz w:val="24"/>
          <w:szCs w:val="24"/>
        </w:rPr>
      </w:pPr>
      <w:r w:rsidRPr="0083366A">
        <w:rPr>
          <w:noProof/>
          <w:sz w:val="24"/>
          <w:szCs w:val="24"/>
        </w:rPr>
        <w:t xml:space="preserve">Additional books, video training classes and resources are available at our web site:  </w:t>
      </w:r>
      <w:hyperlink r:id="rId9" w:history="1">
        <w:r w:rsidRPr="0083366A">
          <w:rPr>
            <w:rStyle w:val="Hyperlink"/>
            <w:noProof/>
            <w:sz w:val="24"/>
            <w:szCs w:val="24"/>
          </w:rPr>
          <w:t>www.aetech.com</w:t>
        </w:r>
      </w:hyperlink>
    </w:p>
    <w:p w:rsidR="00C74F10" w:rsidRDefault="00C74F10" w:rsidP="00C74F10">
      <w:pPr>
        <w:jc w:val="center"/>
        <w:rPr>
          <w:b/>
          <w:noProof/>
          <w:color w:val="FF0000"/>
          <w:sz w:val="48"/>
        </w:rPr>
      </w:pPr>
    </w:p>
    <w:p w:rsidR="00F5229B" w:rsidRPr="004D08EE" w:rsidRDefault="00F5229B" w:rsidP="00C74F10">
      <w:pPr>
        <w:rPr>
          <w:sz w:val="22"/>
          <w:szCs w:val="22"/>
        </w:rPr>
      </w:pPr>
    </w:p>
    <w:sectPr w:rsidR="00F5229B" w:rsidRPr="004D08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22" w:rsidRDefault="00891722" w:rsidP="004D08EE">
      <w:r>
        <w:separator/>
      </w:r>
    </w:p>
  </w:endnote>
  <w:endnote w:type="continuationSeparator" w:id="0">
    <w:p w:rsidR="00891722" w:rsidRDefault="00891722" w:rsidP="004D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EE" w:rsidRPr="004D08EE" w:rsidRDefault="004D08EE" w:rsidP="004D08EE">
    <w:pPr>
      <w:jc w:val="center"/>
      <w:rPr>
        <w:noProof/>
        <w:sz w:val="22"/>
        <w:szCs w:val="22"/>
      </w:rPr>
    </w:pPr>
    <w:r w:rsidRPr="004D08EE">
      <w:rPr>
        <w:noProof/>
        <w:sz w:val="22"/>
        <w:szCs w:val="22"/>
      </w:rPr>
      <w:t>Additional books and resources are available at our web site:</w:t>
    </w:r>
  </w:p>
  <w:p w:rsidR="004D08EE" w:rsidRDefault="00891722" w:rsidP="004D08EE">
    <w:pPr>
      <w:tabs>
        <w:tab w:val="center" w:pos="4320"/>
        <w:tab w:val="right" w:pos="8640"/>
      </w:tabs>
      <w:jc w:val="center"/>
    </w:pPr>
    <w:hyperlink r:id="rId1" w:history="1">
      <w:r w:rsidR="004D08EE" w:rsidRPr="004D08EE">
        <w:rPr>
          <w:noProof/>
          <w:color w:val="0000FF"/>
          <w:sz w:val="22"/>
          <w:szCs w:val="22"/>
          <w:u w:val="single"/>
        </w:rPr>
        <w:t>www.AETech.com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22" w:rsidRDefault="00891722" w:rsidP="004D08EE">
      <w:r>
        <w:separator/>
      </w:r>
    </w:p>
  </w:footnote>
  <w:footnote w:type="continuationSeparator" w:id="0">
    <w:p w:rsidR="00891722" w:rsidRDefault="00891722" w:rsidP="004D0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5"/>
    <w:rsid w:val="00036555"/>
    <w:rsid w:val="001006C4"/>
    <w:rsid w:val="00142DB0"/>
    <w:rsid w:val="00147A73"/>
    <w:rsid w:val="0017148B"/>
    <w:rsid w:val="0019509C"/>
    <w:rsid w:val="0019691A"/>
    <w:rsid w:val="00293D15"/>
    <w:rsid w:val="002B1C91"/>
    <w:rsid w:val="003103B0"/>
    <w:rsid w:val="00392D2E"/>
    <w:rsid w:val="003F2443"/>
    <w:rsid w:val="003F7609"/>
    <w:rsid w:val="004D08EE"/>
    <w:rsid w:val="00544DAB"/>
    <w:rsid w:val="00567708"/>
    <w:rsid w:val="0059324E"/>
    <w:rsid w:val="005A7B7C"/>
    <w:rsid w:val="00801222"/>
    <w:rsid w:val="0082409C"/>
    <w:rsid w:val="00891722"/>
    <w:rsid w:val="00896F41"/>
    <w:rsid w:val="009F7BE3"/>
    <w:rsid w:val="00A741BF"/>
    <w:rsid w:val="00A957B1"/>
    <w:rsid w:val="00AC2F93"/>
    <w:rsid w:val="00B52379"/>
    <w:rsid w:val="00C74F10"/>
    <w:rsid w:val="00D33C4C"/>
    <w:rsid w:val="00D3796C"/>
    <w:rsid w:val="00D50F7E"/>
    <w:rsid w:val="00D85AF1"/>
    <w:rsid w:val="00ED4622"/>
    <w:rsid w:val="00F5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E"/>
    <w:pPr>
      <w:tabs>
        <w:tab w:val="center" w:pos="4680"/>
        <w:tab w:val="right" w:pos="9360"/>
      </w:tabs>
    </w:pPr>
  </w:style>
  <w:style w:type="character" w:customStyle="1" w:styleId="HeaderChar">
    <w:name w:val="Header Char"/>
    <w:basedOn w:val="DefaultParagraphFont"/>
    <w:link w:val="Header"/>
    <w:uiPriority w:val="99"/>
    <w:rsid w:val="004D08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08EE"/>
    <w:pPr>
      <w:tabs>
        <w:tab w:val="center" w:pos="4680"/>
        <w:tab w:val="right" w:pos="9360"/>
      </w:tabs>
    </w:pPr>
  </w:style>
  <w:style w:type="character" w:customStyle="1" w:styleId="FooterChar">
    <w:name w:val="Footer Char"/>
    <w:basedOn w:val="DefaultParagraphFont"/>
    <w:link w:val="Footer"/>
    <w:uiPriority w:val="99"/>
    <w:rsid w:val="004D08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08EE"/>
    <w:rPr>
      <w:rFonts w:ascii="Tahoma" w:hAnsi="Tahoma" w:cs="Tahoma"/>
      <w:sz w:val="16"/>
      <w:szCs w:val="16"/>
    </w:rPr>
  </w:style>
  <w:style w:type="character" w:customStyle="1" w:styleId="BalloonTextChar">
    <w:name w:val="Balloon Text Char"/>
    <w:basedOn w:val="DefaultParagraphFont"/>
    <w:link w:val="BalloonText"/>
    <w:uiPriority w:val="99"/>
    <w:semiHidden/>
    <w:rsid w:val="004D08EE"/>
    <w:rPr>
      <w:rFonts w:ascii="Tahoma" w:eastAsia="Times New Roman" w:hAnsi="Tahoma" w:cs="Tahoma"/>
      <w:sz w:val="16"/>
      <w:szCs w:val="16"/>
    </w:rPr>
  </w:style>
  <w:style w:type="character" w:styleId="Hyperlink">
    <w:name w:val="Hyperlink"/>
    <w:basedOn w:val="DefaultParagraphFont"/>
    <w:rsid w:val="00C74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E"/>
    <w:pPr>
      <w:tabs>
        <w:tab w:val="center" w:pos="4680"/>
        <w:tab w:val="right" w:pos="9360"/>
      </w:tabs>
    </w:pPr>
  </w:style>
  <w:style w:type="character" w:customStyle="1" w:styleId="HeaderChar">
    <w:name w:val="Header Char"/>
    <w:basedOn w:val="DefaultParagraphFont"/>
    <w:link w:val="Header"/>
    <w:uiPriority w:val="99"/>
    <w:rsid w:val="004D08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08EE"/>
    <w:pPr>
      <w:tabs>
        <w:tab w:val="center" w:pos="4680"/>
        <w:tab w:val="right" w:pos="9360"/>
      </w:tabs>
    </w:pPr>
  </w:style>
  <w:style w:type="character" w:customStyle="1" w:styleId="FooterChar">
    <w:name w:val="Footer Char"/>
    <w:basedOn w:val="DefaultParagraphFont"/>
    <w:link w:val="Footer"/>
    <w:uiPriority w:val="99"/>
    <w:rsid w:val="004D08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08EE"/>
    <w:rPr>
      <w:rFonts w:ascii="Tahoma" w:hAnsi="Tahoma" w:cs="Tahoma"/>
      <w:sz w:val="16"/>
      <w:szCs w:val="16"/>
    </w:rPr>
  </w:style>
  <w:style w:type="character" w:customStyle="1" w:styleId="BalloonTextChar">
    <w:name w:val="Balloon Text Char"/>
    <w:basedOn w:val="DefaultParagraphFont"/>
    <w:link w:val="BalloonText"/>
    <w:uiPriority w:val="99"/>
    <w:semiHidden/>
    <w:rsid w:val="004D08EE"/>
    <w:rPr>
      <w:rFonts w:ascii="Tahoma" w:eastAsia="Times New Roman" w:hAnsi="Tahoma" w:cs="Tahoma"/>
      <w:sz w:val="16"/>
      <w:szCs w:val="16"/>
    </w:rPr>
  </w:style>
  <w:style w:type="character" w:styleId="Hyperlink">
    <w:name w:val="Hyperlink"/>
    <w:basedOn w:val="DefaultParagraphFont"/>
    <w:rsid w:val="00C74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e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tec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E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Arne</dc:creator>
  <cp:lastModifiedBy>SA</cp:lastModifiedBy>
  <cp:revision>3</cp:revision>
  <cp:lastPrinted>2016-03-09T22:26:00Z</cp:lastPrinted>
  <dcterms:created xsi:type="dcterms:W3CDTF">2016-12-20T17:55:00Z</dcterms:created>
  <dcterms:modified xsi:type="dcterms:W3CDTF">2016-12-20T17:56:00Z</dcterms:modified>
</cp:coreProperties>
</file>