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4302" w14:textId="39BEAC0A" w:rsidR="000E38FF" w:rsidRDefault="000E38FF" w:rsidP="000E38FF">
      <w:pPr>
        <w:spacing w:line="240" w:lineRule="auto"/>
        <w:jc w:val="center"/>
        <w:rPr>
          <w:rFonts w:asciiTheme="minorHAnsi" w:hAnsiTheme="minorHAnsi" w:cstheme="minorHAnsi"/>
          <w:sz w:val="22"/>
          <w:szCs w:val="22"/>
        </w:rPr>
      </w:pPr>
      <w:r>
        <w:rPr>
          <w:rFonts w:asciiTheme="minorHAnsi" w:hAnsiTheme="minorHAnsi" w:cstheme="minorHAnsi"/>
          <w:sz w:val="22"/>
          <w:szCs w:val="22"/>
        </w:rPr>
        <w:t>Gary Crane</w:t>
      </w:r>
    </w:p>
    <w:p w14:paraId="62DAC1C4" w14:textId="77777777" w:rsidR="000E38FF" w:rsidRDefault="000E38FF" w:rsidP="000E38FF">
      <w:pPr>
        <w:spacing w:line="240" w:lineRule="auto"/>
        <w:jc w:val="center"/>
        <w:rPr>
          <w:rFonts w:asciiTheme="minorHAnsi" w:hAnsiTheme="minorHAnsi" w:cstheme="minorHAnsi"/>
          <w:sz w:val="22"/>
          <w:szCs w:val="22"/>
        </w:rPr>
      </w:pPr>
    </w:p>
    <w:p w14:paraId="7424B499" w14:textId="3D9A7585" w:rsidR="000E38FF" w:rsidRDefault="000E38FF" w:rsidP="000E38FF">
      <w:pPr>
        <w:spacing w:line="360" w:lineRule="auto"/>
        <w:rPr>
          <w:rFonts w:asciiTheme="minorHAnsi" w:hAnsiTheme="minorHAnsi" w:cstheme="minorHAnsi"/>
          <w:sz w:val="22"/>
          <w:szCs w:val="22"/>
        </w:rPr>
      </w:pPr>
      <w:r w:rsidRPr="0007763C">
        <w:rPr>
          <w:rFonts w:asciiTheme="minorHAnsi" w:hAnsiTheme="minorHAnsi" w:cstheme="minorHAnsi"/>
          <w:sz w:val="22"/>
          <w:szCs w:val="22"/>
        </w:rPr>
        <w:t xml:space="preserve">Gary Crane is currently serving as City Attorney for Layton City and Morgan City.  He has represented various municipalities and other public and private entities in the State.  Gary’s practice has particularly focused on land use, </w:t>
      </w:r>
      <w:proofErr w:type="gramStart"/>
      <w:r w:rsidRPr="0007763C">
        <w:rPr>
          <w:rFonts w:asciiTheme="minorHAnsi" w:hAnsiTheme="minorHAnsi" w:cstheme="minorHAnsi"/>
          <w:sz w:val="22"/>
          <w:szCs w:val="22"/>
        </w:rPr>
        <w:t>development</w:t>
      </w:r>
      <w:proofErr w:type="gramEnd"/>
      <w:r w:rsidRPr="0007763C">
        <w:rPr>
          <w:rFonts w:asciiTheme="minorHAnsi" w:hAnsiTheme="minorHAnsi" w:cstheme="minorHAnsi"/>
          <w:sz w:val="22"/>
          <w:szCs w:val="22"/>
        </w:rPr>
        <w:t xml:space="preserve"> and real estate law.  He has served on various boards and commissions and is actively involved in working on municipal legislative issues.   Gary received his B.S. from </w:t>
      </w:r>
      <w:r w:rsidRPr="007A5789">
        <w:rPr>
          <w:rFonts w:asciiTheme="minorHAnsi" w:hAnsiTheme="minorHAnsi" w:cstheme="minorHAnsi"/>
          <w:sz w:val="22"/>
          <w:szCs w:val="22"/>
        </w:rPr>
        <w:t xml:space="preserve">Brigham Young University, his MPA from the Marriott School of Business and his J.D. from J. Rueben Clark Law School.  He has regularly presented and written on </w:t>
      </w:r>
      <w:proofErr w:type="gramStart"/>
      <w:r w:rsidRPr="007A5789">
        <w:rPr>
          <w:rFonts w:asciiTheme="minorHAnsi" w:hAnsiTheme="minorHAnsi" w:cstheme="minorHAnsi"/>
          <w:sz w:val="22"/>
          <w:szCs w:val="22"/>
        </w:rPr>
        <w:t>a number of</w:t>
      </w:r>
      <w:proofErr w:type="gramEnd"/>
      <w:r w:rsidRPr="007A5789">
        <w:rPr>
          <w:rFonts w:asciiTheme="minorHAnsi" w:hAnsiTheme="minorHAnsi" w:cstheme="minorHAnsi"/>
          <w:sz w:val="22"/>
          <w:szCs w:val="22"/>
        </w:rPr>
        <w:t xml:space="preserve"> different municipal issues such as impact fees, subdivision law, annexation, forms of municipal government, affordable housing and many others. </w:t>
      </w:r>
    </w:p>
    <w:p w14:paraId="36D8E8F5" w14:textId="77777777" w:rsidR="000E38FF" w:rsidRDefault="000E38FF"/>
    <w:sectPr w:rsidR="000E3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FF"/>
    <w:rsid w:val="000E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765E"/>
  <w15:chartTrackingRefBased/>
  <w15:docId w15:val="{FDAFEC2F-25DF-4AD2-BA66-3EAC610E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FF"/>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1</cp:revision>
  <dcterms:created xsi:type="dcterms:W3CDTF">2023-03-07T19:42:00Z</dcterms:created>
  <dcterms:modified xsi:type="dcterms:W3CDTF">2023-03-07T19:42:00Z</dcterms:modified>
</cp:coreProperties>
</file>