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1D17" w14:textId="10FEBB87" w:rsidR="003E3391" w:rsidRDefault="00EE662B" w:rsidP="00EE662B">
      <w:pPr>
        <w:jc w:val="center"/>
      </w:pPr>
      <w:r>
        <w:t>Daniel Metcalfe</w:t>
      </w:r>
    </w:p>
    <w:p w14:paraId="3BE74C44" w14:textId="77777777" w:rsidR="00EE662B" w:rsidRPr="00193587" w:rsidRDefault="00EE662B" w:rsidP="00EE662B">
      <w:pPr>
        <w:spacing w:line="360" w:lineRule="auto"/>
        <w:rPr>
          <w:rFonts w:cstheme="minorHAnsi"/>
          <w:b/>
        </w:rPr>
      </w:pPr>
      <w:r w:rsidRPr="00193587">
        <w:rPr>
          <w:rFonts w:cstheme="minorHAnsi"/>
          <w:color w:val="374151"/>
          <w:shd w:val="clear" w:color="auto" w:fill="F7F7F8"/>
        </w:rPr>
        <w:t>Daniel Metcalfe is an In-House Attorney with a focus in corporate, construction, and real estate law. He has an extensive background in business and legal operations, with a focus on maximizing efficiencies, profitability, and risk mitigation. His expertise includes Construction Law, Commercial Real Property Purchases &amp; Sales, Corporate Governance, Tax Law, Corporate &amp; Real Estate Due Diligence, and Legal Department Management. Daniel currently serves as General Counsel for both Tom Stuart Construction, Inc. and STS Properties, LLC, establishing the first in-house legal departments for each. He has also worked as a Client Manager for Thomson Reuters, managing relationships with over 100 law firms across several neighboring states. Daniel attended ASU’s Sandra Day O’Connor College of Law for his 1L year and earned his Juris Doctor from J. Reuben Clark Law School at Brigham Young University and is a current member of the Utah State Bar.</w:t>
      </w:r>
      <w:r w:rsidRPr="00193587">
        <w:rPr>
          <w:rFonts w:cstheme="minorHAnsi"/>
          <w:b/>
        </w:rPr>
        <w:t xml:space="preserve"> </w:t>
      </w:r>
    </w:p>
    <w:p w14:paraId="176CE64A" w14:textId="77777777" w:rsidR="00EE662B" w:rsidRPr="00EE662B" w:rsidRDefault="00EE662B" w:rsidP="00EE662B"/>
    <w:sectPr w:rsidR="00EE662B" w:rsidRPr="00EE6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1"/>
    <w:rsid w:val="003E3391"/>
    <w:rsid w:val="00EE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E21A"/>
  <w15:chartTrackingRefBased/>
  <w15:docId w15:val="{2580780A-916B-4E12-BC72-B5D7E2F1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2</cp:revision>
  <dcterms:created xsi:type="dcterms:W3CDTF">2023-03-07T19:51:00Z</dcterms:created>
  <dcterms:modified xsi:type="dcterms:W3CDTF">2023-03-07T19:51:00Z</dcterms:modified>
</cp:coreProperties>
</file>