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3BB5" w14:textId="77777777" w:rsidR="000A3EE6" w:rsidRDefault="000A3EE6">
      <w:pPr>
        <w:pStyle w:val="BodyText"/>
        <w:rPr>
          <w:rFonts w:ascii="Times New Roman"/>
          <w:sz w:val="20"/>
        </w:rPr>
      </w:pPr>
      <w:bookmarkStart w:id="0" w:name="_GoBack"/>
      <w:bookmarkEnd w:id="0"/>
    </w:p>
    <w:p w14:paraId="461059AF" w14:textId="77777777" w:rsidR="000A3EE6" w:rsidRDefault="000A3EE6">
      <w:pPr>
        <w:pStyle w:val="BodyText"/>
        <w:spacing w:before="3"/>
        <w:rPr>
          <w:rFonts w:ascii="Times New Roman"/>
        </w:rPr>
      </w:pPr>
    </w:p>
    <w:p w14:paraId="7C4D5AA0" w14:textId="77777777" w:rsidR="000A3EE6" w:rsidRDefault="002B2988">
      <w:pPr>
        <w:pStyle w:val="BodyText"/>
        <w:spacing w:line="254" w:lineRule="auto"/>
        <w:ind w:left="1737" w:right="139" w:hanging="2"/>
      </w:pPr>
      <w:r>
        <w:rPr>
          <w:noProof/>
        </w:rPr>
        <w:drawing>
          <wp:anchor distT="0" distB="0" distL="0" distR="0" simplePos="0" relativeHeight="251658240" behindDoc="0" locked="0" layoutInCell="1" allowOverlap="1" wp14:anchorId="28D800C2" wp14:editId="01A1ECEB">
            <wp:simplePos x="0" y="0"/>
            <wp:positionH relativeFrom="page">
              <wp:posOffset>898220</wp:posOffset>
            </wp:positionH>
            <wp:positionV relativeFrom="paragraph">
              <wp:posOffset>-189585</wp:posOffset>
            </wp:positionV>
            <wp:extent cx="907386" cy="1163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07386" cy="1163399"/>
                    </a:xfrm>
                    <a:prstGeom prst="rect">
                      <a:avLst/>
                    </a:prstGeom>
                  </pic:spPr>
                </pic:pic>
              </a:graphicData>
            </a:graphic>
          </wp:anchor>
        </w:drawing>
      </w:r>
      <w:r>
        <w:rPr>
          <w:color w:val="0C0C0C"/>
          <w:w w:val="115"/>
        </w:rPr>
        <w:t>Paulette McGhie has accumulated over 20 years of e</w:t>
      </w:r>
      <w:r>
        <w:rPr>
          <w:color w:val="2A2A2A"/>
          <w:w w:val="115"/>
        </w:rPr>
        <w:t>x</w:t>
      </w:r>
      <w:r>
        <w:rPr>
          <w:color w:val="0C0C0C"/>
          <w:w w:val="115"/>
        </w:rPr>
        <w:t>perience working in both private, public and nonprofit sectors promoting and advancing the building of energy efficient, comfortable, healthy homes and businesses. In 1998 b</w:t>
      </w:r>
      <w:r>
        <w:rPr>
          <w:color w:val="2A2A2A"/>
          <w:w w:val="115"/>
        </w:rPr>
        <w:t>e</w:t>
      </w:r>
      <w:r>
        <w:rPr>
          <w:color w:val="0C0C0C"/>
          <w:w w:val="115"/>
        </w:rPr>
        <w:t xml:space="preserve">gan career in Energy Modeling, Energy Consulting and the HERS Industry, working for </w:t>
      </w:r>
      <w:proofErr w:type="spellStart"/>
      <w:r>
        <w:rPr>
          <w:color w:val="0C0C0C"/>
          <w:w w:val="115"/>
        </w:rPr>
        <w:t>Consol</w:t>
      </w:r>
      <w:proofErr w:type="spellEnd"/>
      <w:r>
        <w:rPr>
          <w:color w:val="0C0C0C"/>
          <w:w w:val="115"/>
        </w:rPr>
        <w:t>, moving shortly after to Energy Inspectors and Utah Clean Energy. In</w:t>
      </w:r>
    </w:p>
    <w:p w14:paraId="3E9A93FA" w14:textId="77777777" w:rsidR="000A3EE6" w:rsidRDefault="002B2988">
      <w:pPr>
        <w:pStyle w:val="BodyText"/>
        <w:spacing w:before="7" w:line="252" w:lineRule="auto"/>
        <w:ind w:left="137" w:right="111" w:firstLine="14"/>
      </w:pPr>
      <w:r>
        <w:rPr>
          <w:color w:val="0C0C0C"/>
          <w:w w:val="115"/>
        </w:rPr>
        <w:t xml:space="preserve">2004 while working for Energy Inspectors contracted over 60 Production Builders to build Energy </w:t>
      </w:r>
      <w:r>
        <w:rPr>
          <w:color w:val="0C0C0C"/>
          <w:w w:val="115"/>
        </w:rPr>
        <w:t xml:space="preserve">Star, Net Zero Homes, </w:t>
      </w:r>
      <w:proofErr w:type="spellStart"/>
      <w:r>
        <w:rPr>
          <w:color w:val="0C0C0C"/>
          <w:w w:val="115"/>
        </w:rPr>
        <w:t>WaterSense</w:t>
      </w:r>
      <w:proofErr w:type="spellEnd"/>
      <w:r>
        <w:rPr>
          <w:color w:val="0C0C0C"/>
          <w:w w:val="115"/>
        </w:rPr>
        <w:t xml:space="preserve">, Indoor </w:t>
      </w:r>
      <w:proofErr w:type="spellStart"/>
      <w:r>
        <w:rPr>
          <w:color w:val="0C0C0C"/>
          <w:w w:val="115"/>
        </w:rPr>
        <w:t>AirPlus</w:t>
      </w:r>
      <w:proofErr w:type="spellEnd"/>
      <w:r>
        <w:rPr>
          <w:color w:val="0C0C0C"/>
          <w:w w:val="115"/>
        </w:rPr>
        <w:t>, and Federal Ta</w:t>
      </w:r>
      <w:r>
        <w:rPr>
          <w:color w:val="2A2A2A"/>
          <w:w w:val="115"/>
        </w:rPr>
        <w:t xml:space="preserve">x </w:t>
      </w:r>
      <w:r>
        <w:rPr>
          <w:color w:val="0C0C0C"/>
          <w:w w:val="115"/>
        </w:rPr>
        <w:t>Credit for new homes. This success was due to strategic marketing campaigns of above code programs that educated builders and homeowners on the benefits of building and buying energy efficie</w:t>
      </w:r>
      <w:r>
        <w:rPr>
          <w:color w:val="0C0C0C"/>
          <w:w w:val="115"/>
        </w:rPr>
        <w:t xml:space="preserve">nt homes. Because of this achievement, Energy Inspectors was recognized by the EPA as "Energy Star Partner of the Year" from 2007 to 2017, </w:t>
      </w:r>
      <w:r>
        <w:rPr>
          <w:color w:val="2A2A2A"/>
          <w:w w:val="115"/>
        </w:rPr>
        <w:t>r</w:t>
      </w:r>
      <w:r>
        <w:rPr>
          <w:color w:val="0C0C0C"/>
          <w:w w:val="115"/>
        </w:rPr>
        <w:t xml:space="preserve">eceived </w:t>
      </w:r>
      <w:proofErr w:type="spellStart"/>
      <w:r>
        <w:rPr>
          <w:color w:val="0C0C0C"/>
          <w:w w:val="115"/>
        </w:rPr>
        <w:t>WaterSense</w:t>
      </w:r>
      <w:proofErr w:type="spellEnd"/>
      <w:r>
        <w:rPr>
          <w:color w:val="0C0C0C"/>
          <w:w w:val="115"/>
        </w:rPr>
        <w:t xml:space="preserve"> Awards in 2011, 2014 </w:t>
      </w:r>
      <w:r>
        <w:rPr>
          <w:rFonts w:ascii="Times New Roman"/>
          <w:color w:val="0C0C0C"/>
          <w:w w:val="115"/>
          <w:sz w:val="24"/>
        </w:rPr>
        <w:t xml:space="preserve">&amp; </w:t>
      </w:r>
      <w:r>
        <w:rPr>
          <w:color w:val="0C0C0C"/>
          <w:w w:val="115"/>
        </w:rPr>
        <w:t>2015 and Indoor</w:t>
      </w:r>
    </w:p>
    <w:p w14:paraId="4B2BAE5E" w14:textId="77777777" w:rsidR="000A3EE6" w:rsidRDefault="002B2988">
      <w:pPr>
        <w:pStyle w:val="BodyText"/>
        <w:spacing w:line="252" w:lineRule="auto"/>
        <w:ind w:left="147" w:right="139" w:hanging="4"/>
      </w:pPr>
      <w:proofErr w:type="spellStart"/>
      <w:r>
        <w:rPr>
          <w:color w:val="0C0C0C"/>
          <w:w w:val="115"/>
        </w:rPr>
        <w:t>AirPlus</w:t>
      </w:r>
      <w:proofErr w:type="spellEnd"/>
      <w:r>
        <w:rPr>
          <w:color w:val="0C0C0C"/>
          <w:w w:val="115"/>
        </w:rPr>
        <w:t xml:space="preserve"> Awards in 2011, 2015-2017. From 2009 to 2012 worke</w:t>
      </w:r>
      <w:r>
        <w:rPr>
          <w:color w:val="0C0C0C"/>
          <w:w w:val="115"/>
        </w:rPr>
        <w:t>d for Utah Clean Energy and participated on a DOE ARRA Grant called Utah Building Energy Efficiency Strategies to increase energy efficiency in Utah's buildings 20</w:t>
      </w:r>
      <w:r>
        <w:rPr>
          <w:color w:val="2A2A2A"/>
          <w:w w:val="115"/>
        </w:rPr>
        <w:t xml:space="preserve">% </w:t>
      </w:r>
      <w:r>
        <w:rPr>
          <w:color w:val="0C0C0C"/>
          <w:w w:val="115"/>
        </w:rPr>
        <w:t>by 2015.</w:t>
      </w:r>
    </w:p>
    <w:p w14:paraId="65CD301A" w14:textId="77777777" w:rsidR="000A3EE6" w:rsidRDefault="000A3EE6">
      <w:pPr>
        <w:pStyle w:val="BodyText"/>
        <w:spacing w:before="9"/>
      </w:pPr>
    </w:p>
    <w:p w14:paraId="0BBB3B20" w14:textId="77777777" w:rsidR="000A3EE6" w:rsidRDefault="002B2988">
      <w:pPr>
        <w:pStyle w:val="BodyText"/>
        <w:spacing w:line="252" w:lineRule="auto"/>
        <w:ind w:left="143" w:right="111" w:firstLine="3"/>
      </w:pPr>
      <w:r>
        <w:rPr>
          <w:color w:val="0C0C0C"/>
          <w:w w:val="115"/>
        </w:rPr>
        <w:t>Has</w:t>
      </w:r>
      <w:r>
        <w:rPr>
          <w:color w:val="0C0C0C"/>
          <w:spacing w:val="-22"/>
          <w:w w:val="115"/>
        </w:rPr>
        <w:t xml:space="preserve"> </w:t>
      </w:r>
      <w:r>
        <w:rPr>
          <w:color w:val="0C0C0C"/>
          <w:w w:val="115"/>
        </w:rPr>
        <w:t>served</w:t>
      </w:r>
      <w:r>
        <w:rPr>
          <w:color w:val="0C0C0C"/>
          <w:spacing w:val="-14"/>
          <w:w w:val="115"/>
        </w:rPr>
        <w:t xml:space="preserve"> </w:t>
      </w:r>
      <w:r>
        <w:rPr>
          <w:color w:val="0C0C0C"/>
          <w:w w:val="115"/>
        </w:rPr>
        <w:t>on</w:t>
      </w:r>
      <w:r>
        <w:rPr>
          <w:color w:val="0C0C0C"/>
          <w:spacing w:val="-21"/>
          <w:w w:val="115"/>
        </w:rPr>
        <w:t xml:space="preserve"> </w:t>
      </w:r>
      <w:r>
        <w:rPr>
          <w:color w:val="0C0C0C"/>
          <w:w w:val="115"/>
        </w:rPr>
        <w:t>the</w:t>
      </w:r>
      <w:r>
        <w:rPr>
          <w:color w:val="0C0C0C"/>
          <w:spacing w:val="-12"/>
          <w:w w:val="115"/>
        </w:rPr>
        <w:t xml:space="preserve"> </w:t>
      </w:r>
      <w:r>
        <w:rPr>
          <w:color w:val="0C0C0C"/>
          <w:w w:val="115"/>
        </w:rPr>
        <w:t>Utah</w:t>
      </w:r>
      <w:r>
        <w:rPr>
          <w:color w:val="0C0C0C"/>
          <w:spacing w:val="-28"/>
          <w:w w:val="115"/>
        </w:rPr>
        <w:t xml:space="preserve"> </w:t>
      </w:r>
      <w:r>
        <w:rPr>
          <w:color w:val="0C0C0C"/>
          <w:w w:val="115"/>
        </w:rPr>
        <w:t>Building</w:t>
      </w:r>
      <w:r>
        <w:rPr>
          <w:color w:val="0C0C0C"/>
          <w:spacing w:val="-19"/>
          <w:w w:val="115"/>
        </w:rPr>
        <w:t xml:space="preserve"> </w:t>
      </w:r>
      <w:r>
        <w:rPr>
          <w:color w:val="0C0C0C"/>
          <w:w w:val="115"/>
        </w:rPr>
        <w:t>Code</w:t>
      </w:r>
      <w:r>
        <w:rPr>
          <w:color w:val="0C0C0C"/>
          <w:spacing w:val="-23"/>
          <w:w w:val="115"/>
        </w:rPr>
        <w:t xml:space="preserve"> </w:t>
      </w:r>
      <w:r>
        <w:rPr>
          <w:color w:val="0C0C0C"/>
          <w:w w:val="115"/>
        </w:rPr>
        <w:t>Commission's</w:t>
      </w:r>
      <w:r>
        <w:rPr>
          <w:color w:val="0C0C0C"/>
          <w:spacing w:val="-15"/>
          <w:w w:val="115"/>
        </w:rPr>
        <w:t xml:space="preserve"> </w:t>
      </w:r>
      <w:r>
        <w:rPr>
          <w:color w:val="0C0C0C"/>
          <w:w w:val="115"/>
        </w:rPr>
        <w:t>Energy</w:t>
      </w:r>
      <w:r>
        <w:rPr>
          <w:color w:val="0C0C0C"/>
          <w:spacing w:val="-14"/>
          <w:w w:val="115"/>
        </w:rPr>
        <w:t xml:space="preserve"> </w:t>
      </w:r>
      <w:r>
        <w:rPr>
          <w:color w:val="0C0C0C"/>
          <w:w w:val="115"/>
        </w:rPr>
        <w:t>Ad</w:t>
      </w:r>
      <w:r>
        <w:rPr>
          <w:color w:val="0C0C0C"/>
          <w:spacing w:val="-21"/>
          <w:w w:val="115"/>
        </w:rPr>
        <w:t xml:space="preserve"> </w:t>
      </w:r>
      <w:r>
        <w:rPr>
          <w:color w:val="0C0C0C"/>
          <w:w w:val="115"/>
        </w:rPr>
        <w:t>Hoc</w:t>
      </w:r>
      <w:r>
        <w:rPr>
          <w:color w:val="0C0C0C"/>
          <w:spacing w:val="-28"/>
          <w:w w:val="115"/>
        </w:rPr>
        <w:t xml:space="preserve"> </w:t>
      </w:r>
      <w:r>
        <w:rPr>
          <w:color w:val="0C0C0C"/>
          <w:w w:val="115"/>
        </w:rPr>
        <w:t>Committee</w:t>
      </w:r>
      <w:r>
        <w:rPr>
          <w:color w:val="0C0C0C"/>
          <w:spacing w:val="-8"/>
          <w:w w:val="115"/>
        </w:rPr>
        <w:t xml:space="preserve"> </w:t>
      </w:r>
      <w:r>
        <w:rPr>
          <w:color w:val="0C0C0C"/>
          <w:w w:val="115"/>
        </w:rPr>
        <w:t>and org</w:t>
      </w:r>
      <w:r>
        <w:rPr>
          <w:color w:val="0C0C0C"/>
          <w:w w:val="115"/>
        </w:rPr>
        <w:t xml:space="preserve">anized Energy Code Forums </w:t>
      </w:r>
      <w:r>
        <w:rPr>
          <w:rFonts w:ascii="Times New Roman"/>
          <w:color w:val="0C0C0C"/>
          <w:w w:val="115"/>
          <w:sz w:val="24"/>
        </w:rPr>
        <w:t xml:space="preserve">&amp; </w:t>
      </w:r>
      <w:r>
        <w:rPr>
          <w:color w:val="0C0C0C"/>
          <w:w w:val="115"/>
        </w:rPr>
        <w:t>Energy Code Compliance Working Groups to identify solutions for improved energy code compliance. UBEES successfully outreached to builders, developers, building departments, building inspectors, business, and homeowners through Education Forums, Energy Sta</w:t>
      </w:r>
      <w:r>
        <w:rPr>
          <w:color w:val="0C0C0C"/>
          <w:w w:val="115"/>
        </w:rPr>
        <w:t xml:space="preserve">r Conferences, Home and Garden Shows and Community outreach activities. </w:t>
      </w:r>
      <w:proofErr w:type="spellStart"/>
      <w:r>
        <w:rPr>
          <w:color w:val="0C0C0C"/>
          <w:w w:val="115"/>
        </w:rPr>
        <w:t>E</w:t>
      </w:r>
      <w:r>
        <w:rPr>
          <w:color w:val="2A2A2A"/>
          <w:w w:val="115"/>
        </w:rPr>
        <w:t>x</w:t>
      </w:r>
      <w:r>
        <w:rPr>
          <w:color w:val="0C0C0C"/>
          <w:w w:val="115"/>
        </w:rPr>
        <w:t>perien</w:t>
      </w:r>
      <w:proofErr w:type="spellEnd"/>
      <w:r>
        <w:rPr>
          <w:color w:val="0C0C0C"/>
          <w:w w:val="115"/>
        </w:rPr>
        <w:t xml:space="preserve"> </w:t>
      </w:r>
      <w:proofErr w:type="spellStart"/>
      <w:r>
        <w:rPr>
          <w:color w:val="0C0C0C"/>
          <w:w w:val="115"/>
        </w:rPr>
        <w:t>ce</w:t>
      </w:r>
      <w:proofErr w:type="spellEnd"/>
      <w:r>
        <w:rPr>
          <w:color w:val="0C0C0C"/>
          <w:w w:val="115"/>
        </w:rPr>
        <w:t xml:space="preserve"> includes networking with representatives from federal, state and local governments, utilities, renewable energy industries, clean energy advocates interested in early energ</w:t>
      </w:r>
      <w:r>
        <w:rPr>
          <w:color w:val="0C0C0C"/>
          <w:w w:val="115"/>
        </w:rPr>
        <w:t>y code adoption, and better-quality energy code compliance during construction as a method to increase the energy efficiency of buildings. UBEES actively promoted Energy Star programs for e</w:t>
      </w:r>
      <w:r>
        <w:rPr>
          <w:color w:val="2A2A2A"/>
          <w:w w:val="115"/>
        </w:rPr>
        <w:t>x</w:t>
      </w:r>
      <w:r>
        <w:rPr>
          <w:color w:val="0C0C0C"/>
          <w:w w:val="115"/>
        </w:rPr>
        <w:t>ist in g homes, new homes, the Energy Star Benchmarking</w:t>
      </w:r>
      <w:r>
        <w:rPr>
          <w:color w:val="0C0C0C"/>
          <w:spacing w:val="3"/>
          <w:w w:val="115"/>
        </w:rPr>
        <w:t xml:space="preserve"> </w:t>
      </w:r>
      <w:r>
        <w:rPr>
          <w:color w:val="0C0C0C"/>
          <w:w w:val="115"/>
        </w:rPr>
        <w:t>of</w:t>
      </w:r>
      <w:r>
        <w:rPr>
          <w:color w:val="0C0C0C"/>
          <w:spacing w:val="-4"/>
          <w:w w:val="115"/>
        </w:rPr>
        <w:t xml:space="preserve"> </w:t>
      </w:r>
      <w:r>
        <w:rPr>
          <w:color w:val="0C0C0C"/>
          <w:w w:val="115"/>
        </w:rPr>
        <w:t>state</w:t>
      </w:r>
      <w:r>
        <w:rPr>
          <w:color w:val="0C0C0C"/>
          <w:spacing w:val="-13"/>
          <w:w w:val="115"/>
        </w:rPr>
        <w:t xml:space="preserve"> </w:t>
      </w:r>
      <w:r>
        <w:rPr>
          <w:color w:val="0C0C0C"/>
          <w:w w:val="115"/>
        </w:rPr>
        <w:t>b</w:t>
      </w:r>
      <w:r>
        <w:rPr>
          <w:color w:val="0C0C0C"/>
          <w:w w:val="115"/>
        </w:rPr>
        <w:t>uildings</w:t>
      </w:r>
      <w:r>
        <w:rPr>
          <w:color w:val="0C0C0C"/>
          <w:spacing w:val="-8"/>
          <w:w w:val="115"/>
        </w:rPr>
        <w:t xml:space="preserve"> </w:t>
      </w:r>
      <w:r>
        <w:rPr>
          <w:color w:val="0C0C0C"/>
          <w:w w:val="115"/>
        </w:rPr>
        <w:t>and</w:t>
      </w:r>
      <w:r>
        <w:rPr>
          <w:color w:val="0C0C0C"/>
          <w:spacing w:val="-16"/>
          <w:w w:val="115"/>
        </w:rPr>
        <w:t xml:space="preserve"> </w:t>
      </w:r>
      <w:r>
        <w:rPr>
          <w:color w:val="0C0C0C"/>
          <w:w w:val="115"/>
        </w:rPr>
        <w:t>the</w:t>
      </w:r>
      <w:r>
        <w:rPr>
          <w:color w:val="0C0C0C"/>
          <w:spacing w:val="-8"/>
          <w:w w:val="115"/>
        </w:rPr>
        <w:t xml:space="preserve"> </w:t>
      </w:r>
      <w:r>
        <w:rPr>
          <w:color w:val="0C0C0C"/>
          <w:w w:val="115"/>
        </w:rPr>
        <w:t>training</w:t>
      </w:r>
      <w:r>
        <w:rPr>
          <w:color w:val="0C0C0C"/>
          <w:spacing w:val="-9"/>
          <w:w w:val="115"/>
        </w:rPr>
        <w:t xml:space="preserve"> </w:t>
      </w:r>
      <w:r>
        <w:rPr>
          <w:color w:val="0C0C0C"/>
          <w:w w:val="115"/>
        </w:rPr>
        <w:t>of</w:t>
      </w:r>
      <w:r>
        <w:rPr>
          <w:color w:val="0C0C0C"/>
          <w:spacing w:val="-22"/>
          <w:w w:val="115"/>
        </w:rPr>
        <w:t xml:space="preserve"> </w:t>
      </w:r>
      <w:r>
        <w:rPr>
          <w:color w:val="0C0C0C"/>
          <w:w w:val="115"/>
        </w:rPr>
        <w:t>local</w:t>
      </w:r>
      <w:r>
        <w:rPr>
          <w:color w:val="0C0C0C"/>
          <w:spacing w:val="-19"/>
          <w:w w:val="115"/>
        </w:rPr>
        <w:t xml:space="preserve"> </w:t>
      </w:r>
      <w:r>
        <w:rPr>
          <w:color w:val="0C0C0C"/>
          <w:w w:val="115"/>
        </w:rPr>
        <w:t>businesses</w:t>
      </w:r>
      <w:r>
        <w:rPr>
          <w:color w:val="0C0C0C"/>
          <w:spacing w:val="1"/>
          <w:w w:val="115"/>
        </w:rPr>
        <w:t xml:space="preserve"> </w:t>
      </w:r>
      <w:r>
        <w:rPr>
          <w:color w:val="0C0C0C"/>
          <w:w w:val="115"/>
        </w:rPr>
        <w:t>to</w:t>
      </w:r>
      <w:r>
        <w:rPr>
          <w:color w:val="0C0C0C"/>
          <w:spacing w:val="3"/>
          <w:w w:val="115"/>
        </w:rPr>
        <w:t xml:space="preserve"> </w:t>
      </w:r>
      <w:proofErr w:type="gramStart"/>
      <w:r>
        <w:rPr>
          <w:color w:val="0C0C0C"/>
          <w:w w:val="115"/>
        </w:rPr>
        <w:t>Benchmark</w:t>
      </w:r>
      <w:r>
        <w:rPr>
          <w:color w:val="0C0C0C"/>
          <w:spacing w:val="-47"/>
          <w:w w:val="115"/>
        </w:rPr>
        <w:t xml:space="preserve"> </w:t>
      </w:r>
      <w:r>
        <w:rPr>
          <w:color w:val="2A2A2A"/>
          <w:w w:val="115"/>
        </w:rPr>
        <w:t>.</w:t>
      </w:r>
      <w:proofErr w:type="gramEnd"/>
      <w:r>
        <w:rPr>
          <w:color w:val="2A2A2A"/>
          <w:w w:val="115"/>
        </w:rPr>
        <w:t xml:space="preserve"> </w:t>
      </w:r>
      <w:r>
        <w:rPr>
          <w:color w:val="0C0C0C"/>
          <w:w w:val="115"/>
        </w:rPr>
        <w:t>For</w:t>
      </w:r>
      <w:r>
        <w:rPr>
          <w:color w:val="0C0C0C"/>
          <w:spacing w:val="-26"/>
          <w:w w:val="115"/>
        </w:rPr>
        <w:t xml:space="preserve"> </w:t>
      </w:r>
      <w:r>
        <w:rPr>
          <w:color w:val="0C0C0C"/>
          <w:w w:val="115"/>
        </w:rPr>
        <w:t>this</w:t>
      </w:r>
      <w:r>
        <w:rPr>
          <w:color w:val="0C0C0C"/>
          <w:spacing w:val="-18"/>
          <w:w w:val="115"/>
        </w:rPr>
        <w:t xml:space="preserve"> </w:t>
      </w:r>
      <w:r>
        <w:rPr>
          <w:color w:val="0C0C0C"/>
          <w:w w:val="115"/>
        </w:rPr>
        <w:t>work</w:t>
      </w:r>
      <w:r>
        <w:rPr>
          <w:color w:val="0C0C0C"/>
          <w:spacing w:val="-18"/>
          <w:w w:val="115"/>
        </w:rPr>
        <w:t xml:space="preserve"> </w:t>
      </w:r>
      <w:r>
        <w:rPr>
          <w:color w:val="0C0C0C"/>
          <w:w w:val="115"/>
        </w:rPr>
        <w:t>UBEES</w:t>
      </w:r>
      <w:r>
        <w:rPr>
          <w:color w:val="0C0C0C"/>
          <w:spacing w:val="-21"/>
          <w:w w:val="115"/>
        </w:rPr>
        <w:t xml:space="preserve"> </w:t>
      </w:r>
      <w:r>
        <w:rPr>
          <w:color w:val="0C0C0C"/>
          <w:w w:val="115"/>
        </w:rPr>
        <w:t>was</w:t>
      </w:r>
      <w:r>
        <w:rPr>
          <w:color w:val="0C0C0C"/>
          <w:spacing w:val="-21"/>
          <w:w w:val="115"/>
        </w:rPr>
        <w:t xml:space="preserve"> </w:t>
      </w:r>
      <w:r>
        <w:rPr>
          <w:color w:val="0C0C0C"/>
          <w:w w:val="115"/>
        </w:rPr>
        <w:t>recognized</w:t>
      </w:r>
      <w:r>
        <w:rPr>
          <w:color w:val="0C0C0C"/>
          <w:spacing w:val="-17"/>
          <w:w w:val="115"/>
        </w:rPr>
        <w:t xml:space="preserve"> </w:t>
      </w:r>
      <w:r>
        <w:rPr>
          <w:color w:val="0C0C0C"/>
          <w:w w:val="115"/>
        </w:rPr>
        <w:t>by</w:t>
      </w:r>
      <w:r>
        <w:rPr>
          <w:color w:val="0C0C0C"/>
          <w:spacing w:val="-15"/>
          <w:w w:val="115"/>
        </w:rPr>
        <w:t xml:space="preserve"> </w:t>
      </w:r>
      <w:r>
        <w:rPr>
          <w:color w:val="0C0C0C"/>
          <w:w w:val="115"/>
        </w:rPr>
        <w:t>the EPA</w:t>
      </w:r>
      <w:r>
        <w:rPr>
          <w:color w:val="0C0C0C"/>
          <w:spacing w:val="-21"/>
          <w:w w:val="115"/>
        </w:rPr>
        <w:t xml:space="preserve"> </w:t>
      </w:r>
      <w:r>
        <w:rPr>
          <w:color w:val="0C0C0C"/>
          <w:w w:val="115"/>
        </w:rPr>
        <w:t>as</w:t>
      </w:r>
      <w:r>
        <w:rPr>
          <w:color w:val="0C0C0C"/>
          <w:spacing w:val="-26"/>
          <w:w w:val="115"/>
        </w:rPr>
        <w:t xml:space="preserve"> </w:t>
      </w:r>
      <w:r>
        <w:rPr>
          <w:color w:val="0C0C0C"/>
          <w:w w:val="115"/>
        </w:rPr>
        <w:t>Energy</w:t>
      </w:r>
      <w:r>
        <w:rPr>
          <w:color w:val="0C0C0C"/>
          <w:spacing w:val="-21"/>
          <w:w w:val="115"/>
        </w:rPr>
        <w:t xml:space="preserve"> </w:t>
      </w:r>
      <w:r>
        <w:rPr>
          <w:color w:val="0C0C0C"/>
          <w:w w:val="115"/>
        </w:rPr>
        <w:t>Star</w:t>
      </w:r>
      <w:r>
        <w:rPr>
          <w:color w:val="0C0C0C"/>
          <w:spacing w:val="-19"/>
          <w:w w:val="115"/>
        </w:rPr>
        <w:t xml:space="preserve"> </w:t>
      </w:r>
      <w:r>
        <w:rPr>
          <w:color w:val="0C0C0C"/>
          <w:w w:val="115"/>
        </w:rPr>
        <w:t>Partner</w:t>
      </w:r>
      <w:r>
        <w:rPr>
          <w:color w:val="0C0C0C"/>
          <w:spacing w:val="-19"/>
          <w:w w:val="115"/>
        </w:rPr>
        <w:t xml:space="preserve"> </w:t>
      </w:r>
      <w:r>
        <w:rPr>
          <w:color w:val="0C0C0C"/>
          <w:w w:val="115"/>
        </w:rPr>
        <w:t>of</w:t>
      </w:r>
      <w:r>
        <w:rPr>
          <w:color w:val="0C0C0C"/>
          <w:spacing w:val="-14"/>
          <w:w w:val="115"/>
        </w:rPr>
        <w:t xml:space="preserve"> </w:t>
      </w:r>
      <w:r>
        <w:rPr>
          <w:color w:val="0C0C0C"/>
          <w:w w:val="115"/>
        </w:rPr>
        <w:t>the</w:t>
      </w:r>
      <w:r>
        <w:rPr>
          <w:color w:val="0C0C0C"/>
          <w:spacing w:val="-10"/>
          <w:w w:val="115"/>
        </w:rPr>
        <w:t xml:space="preserve"> </w:t>
      </w:r>
      <w:r>
        <w:rPr>
          <w:color w:val="0C0C0C"/>
          <w:w w:val="115"/>
        </w:rPr>
        <w:t>Year for 2010 and</w:t>
      </w:r>
      <w:r>
        <w:rPr>
          <w:color w:val="0C0C0C"/>
          <w:spacing w:val="-13"/>
          <w:w w:val="115"/>
        </w:rPr>
        <w:t xml:space="preserve"> </w:t>
      </w:r>
      <w:r>
        <w:rPr>
          <w:color w:val="0C0C0C"/>
          <w:w w:val="115"/>
        </w:rPr>
        <w:t>2011.</w:t>
      </w:r>
    </w:p>
    <w:sectPr w:rsidR="000A3EE6">
      <w:type w:val="continuous"/>
      <w:pgSz w:w="12240" w:h="15840"/>
      <w:pgMar w:top="150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GwMDYwMTI1MzIxt7RU0lEKTi0uzszPAykwrAUAkYip1ywAAAA="/>
  </w:docVars>
  <w:rsids>
    <w:rsidRoot w:val="000A3EE6"/>
    <w:rsid w:val="000A3EE6"/>
    <w:rsid w:val="002B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349A"/>
  <w15:docId w15:val="{85EB7DB6-27A0-46C6-A644-1289DA2E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Jolene Ford</cp:lastModifiedBy>
  <cp:revision>2</cp:revision>
  <dcterms:created xsi:type="dcterms:W3CDTF">2018-06-21T19:31:00Z</dcterms:created>
  <dcterms:modified xsi:type="dcterms:W3CDTF">2018-06-21T19:31:00Z</dcterms:modified>
</cp:coreProperties>
</file>